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800"/>
      </w:tblGrid>
      <w:tr>
        <w:tc>
          <w:tcPr>
            <w:tcW w:type="dxa" w:w="10800"/>
            <w:shd w:fill="1B365D"/>
            <w:tcMar>
              <w:top w:w="40" w:type="dxa"/>
              <w:bottom w:w="40" w:type="dxa"/>
              <w:left w:w="80" w:type="dxa"/>
              <w:right w:w="80" w:type="dxa"/>
            </w:tcMar>
          </w:tcPr>
          <w:p>
            <w:pPr>
              <w:spacing w:after="20"/>
            </w:pPr>
            <w:r>
              <w:rPr>
                <w:rFonts w:ascii="Arial" w:hAnsi="Arial"/>
                <w:b/>
                <w:color w:val="FFFFFF"/>
                <w:sz w:val="22"/>
              </w:rPr>
              <w:t>ILAW LESSON PLAN ON MATHEMATICS</w:t>
            </w:r>
          </w:p>
          <w:p>
            <w:pPr>
              <w:spacing w:after="0"/>
            </w:pPr>
            <w:r>
              <w:rPr>
                <w:rFonts w:ascii="Arial" w:hAnsi="Arial"/>
                <w:color w:val="E0E6ED"/>
                <w:sz w:val="16"/>
              </w:rPr>
              <w:t>DepEd Order No. 003, s. 2026 (Annex A Template) | COT Indicators Embedded</w:t>
            </w:r>
          </w:p>
        </w:tc>
      </w:tr>
    </w:tbl>
    <w:p>
      <w:pPr>
        <w:spacing w:after="40"/>
      </w:pPr>
    </w:p>
    <w:tbl>
      <w:tblPr>
        <w:tblW w:type="auto" w:w="0"/>
        <w:jc w:val="center"/>
        <w:tblLook w:firstColumn="1" w:firstRow="1" w:lastColumn="0" w:lastRow="0" w:noHBand="0" w:noVBand="1" w:val="04A0"/>
        <w:tblBorders>
          <w:top w:val="single" w:sz="4" w:space="0" w:color="C8D3E0"/>
          <w:bottom w:val="single" w:sz="4" w:space="0" w:color="C8D3E0"/>
          <w:insideH w:val="single" w:sz="4" w:space="0" w:color="C8D3E0"/>
          <w:insideV w:val="single" w:sz="4" w:space="0" w:color="C8D3E0"/>
          <w:left w:val="none"/>
          <w:right w:val="none"/>
        </w:tblBorders>
      </w:tblPr>
      <w:tblGrid>
        <w:gridCol w:w="5400"/>
        <w:gridCol w:w="5400"/>
      </w:tblGrid>
      <w:tr>
        <w:tc>
          <w:tcPr>
            <w:tcW w:type="dxa" w:w="3168"/>
            <w:shd w:fill="F0F4F8"/>
            <w:tcMar>
              <w:top w:w="18" w:type="dxa"/>
              <w:bottom w:w="18" w:type="dxa"/>
              <w:left w:w="60" w:type="dxa"/>
              <w:right w:w="60" w:type="dxa"/>
            </w:tcMar>
          </w:tcPr>
          <w:p>
            <w:pPr>
              <w:spacing w:after="0"/>
            </w:pPr>
            <w:r>
              <w:rPr>
                <w:rFonts w:ascii="Arial" w:hAnsi="Arial"/>
                <w:b/>
                <w:color w:val="1B365D"/>
                <w:sz w:val="15"/>
              </w:rPr>
              <w:t>Name of Lesson</w:t>
            </w:r>
          </w:p>
        </w:tc>
        <w:tc>
          <w:tcPr>
            <w:tcW w:type="dxa" w:w="7344"/>
            <w:tcMar>
              <w:top w:w="18" w:type="dxa"/>
              <w:bottom w:w="18" w:type="dxa"/>
              <w:left w:w="60" w:type="dxa"/>
              <w:right w:w="60" w:type="dxa"/>
            </w:tcMar>
          </w:tcPr>
          <w:p>
            <w:pPr>
              <w:spacing w:after="0"/>
            </w:pPr>
            <w:r>
              <w:rPr>
                <w:rFonts w:ascii="Arial" w:hAnsi="Arial"/>
                <w:color w:val="222222"/>
                <w:sz w:val="15"/>
              </w:rPr>
              <w:t>Graphing Linear Functions</w:t>
            </w:r>
          </w:p>
        </w:tc>
      </w:tr>
      <w:tr>
        <w:tc>
          <w:tcPr>
            <w:tcW w:type="dxa" w:w="3168"/>
            <w:shd w:fill="F0F4F8"/>
            <w:tcMar>
              <w:top w:w="18" w:type="dxa"/>
              <w:bottom w:w="18" w:type="dxa"/>
              <w:left w:w="60" w:type="dxa"/>
              <w:right w:w="60" w:type="dxa"/>
            </w:tcMar>
          </w:tcPr>
          <w:p>
            <w:pPr>
              <w:spacing w:after="0"/>
            </w:pPr>
            <w:r>
              <w:rPr>
                <w:rFonts w:ascii="Arial" w:hAnsi="Arial"/>
                <w:b/>
                <w:color w:val="1B365D"/>
                <w:sz w:val="15"/>
              </w:rPr>
              <w:t>Learning Area/s</w:t>
            </w:r>
          </w:p>
        </w:tc>
        <w:tc>
          <w:tcPr>
            <w:tcW w:type="dxa" w:w="7344"/>
            <w:tcMar>
              <w:top w:w="18" w:type="dxa"/>
              <w:bottom w:w="18" w:type="dxa"/>
              <w:left w:w="60" w:type="dxa"/>
              <w:right w:w="60" w:type="dxa"/>
            </w:tcMar>
          </w:tcPr>
          <w:p>
            <w:pPr>
              <w:spacing w:after="0"/>
            </w:pPr>
            <w:r>
              <w:rPr>
                <w:rFonts w:ascii="Arial" w:hAnsi="Arial"/>
                <w:color w:val="222222"/>
                <w:sz w:val="15"/>
              </w:rPr>
              <w:t>Mathematics</w:t>
            </w:r>
          </w:p>
        </w:tc>
      </w:tr>
      <w:tr>
        <w:tc>
          <w:tcPr>
            <w:tcW w:type="dxa" w:w="3168"/>
            <w:shd w:fill="F0F4F8"/>
            <w:tcMar>
              <w:top w:w="18" w:type="dxa"/>
              <w:bottom w:w="18" w:type="dxa"/>
              <w:left w:w="60" w:type="dxa"/>
              <w:right w:w="60" w:type="dxa"/>
            </w:tcMar>
          </w:tcPr>
          <w:p>
            <w:pPr>
              <w:spacing w:after="0"/>
            </w:pPr>
            <w:r>
              <w:rPr>
                <w:rFonts w:ascii="Arial" w:hAnsi="Arial"/>
                <w:b/>
                <w:color w:val="1B365D"/>
                <w:sz w:val="15"/>
              </w:rPr>
              <w:t>Designed by Teacher/s</w:t>
            </w:r>
          </w:p>
        </w:tc>
        <w:tc>
          <w:tcPr>
            <w:tcW w:type="dxa" w:w="7344"/>
            <w:tcMar>
              <w:top w:w="18" w:type="dxa"/>
              <w:bottom w:w="18" w:type="dxa"/>
              <w:left w:w="60" w:type="dxa"/>
              <w:right w:w="60" w:type="dxa"/>
            </w:tcMar>
          </w:tcPr>
          <w:p>
            <w:pPr>
              <w:spacing w:after="0"/>
            </w:pPr>
            <w:r>
              <w:rPr>
                <w:rFonts w:ascii="Arial" w:hAnsi="Arial"/>
                <w:color w:val="222222"/>
                <w:sz w:val="15"/>
              </w:rPr>
              <w:t>NORBERTO P. BINONDO JR.</w:t>
            </w:r>
          </w:p>
        </w:tc>
      </w:tr>
      <w:tr>
        <w:tc>
          <w:tcPr>
            <w:tcW w:type="dxa" w:w="3168"/>
            <w:shd w:fill="F0F4F8"/>
            <w:tcMar>
              <w:top w:w="18" w:type="dxa"/>
              <w:bottom w:w="18" w:type="dxa"/>
              <w:left w:w="60" w:type="dxa"/>
              <w:right w:w="60" w:type="dxa"/>
            </w:tcMar>
          </w:tcPr>
          <w:p>
            <w:pPr>
              <w:spacing w:after="0"/>
            </w:pPr>
            <w:r>
              <w:rPr>
                <w:rFonts w:ascii="Arial" w:hAnsi="Arial"/>
                <w:b/>
                <w:color w:val="1B365D"/>
                <w:sz w:val="15"/>
              </w:rPr>
              <w:t>Grade Level &amp; Section</w:t>
            </w:r>
          </w:p>
        </w:tc>
        <w:tc>
          <w:tcPr>
            <w:tcW w:type="dxa" w:w="7344"/>
            <w:tcMar>
              <w:top w:w="18" w:type="dxa"/>
              <w:bottom w:w="18" w:type="dxa"/>
              <w:left w:w="60" w:type="dxa"/>
              <w:right w:w="60" w:type="dxa"/>
            </w:tcMar>
          </w:tcPr>
          <w:p>
            <w:pPr>
              <w:spacing w:after="0"/>
            </w:pPr>
            <w:r>
              <w:rPr>
                <w:rFonts w:ascii="Arial" w:hAnsi="Arial"/>
                <w:color w:val="222222"/>
                <w:sz w:val="15"/>
              </w:rPr>
              <w:t>Grade 9 - Kindness</w:t>
            </w:r>
          </w:p>
        </w:tc>
      </w:tr>
      <w:tr>
        <w:tc>
          <w:tcPr>
            <w:tcW w:type="dxa" w:w="3168"/>
            <w:shd w:fill="F0F4F8"/>
            <w:tcMar>
              <w:top w:w="18" w:type="dxa"/>
              <w:bottom w:w="18" w:type="dxa"/>
              <w:left w:w="60" w:type="dxa"/>
              <w:right w:w="60" w:type="dxa"/>
            </w:tcMar>
          </w:tcPr>
          <w:p>
            <w:pPr>
              <w:spacing w:after="0"/>
            </w:pPr>
            <w:r>
              <w:rPr>
                <w:rFonts w:ascii="Arial" w:hAnsi="Arial"/>
                <w:b/>
                <w:color w:val="1B365D"/>
                <w:sz w:val="15"/>
              </w:rPr>
              <w:t>No. of Sessions</w:t>
            </w:r>
          </w:p>
        </w:tc>
        <w:tc>
          <w:tcPr>
            <w:tcW w:type="dxa" w:w="7344"/>
            <w:tcMar>
              <w:top w:w="18" w:type="dxa"/>
              <w:bottom w:w="18" w:type="dxa"/>
              <w:left w:w="60" w:type="dxa"/>
              <w:right w:w="60" w:type="dxa"/>
            </w:tcMar>
          </w:tcPr>
          <w:p>
            <w:pPr>
              <w:spacing w:after="0"/>
            </w:pPr>
            <w:r>
              <w:rPr>
                <w:rFonts w:ascii="Arial" w:hAnsi="Arial"/>
                <w:color w:val="222222"/>
                <w:sz w:val="15"/>
              </w:rPr>
              <w:t>1</w:t>
            </w:r>
          </w:p>
        </w:tc>
      </w:tr>
      <w:tr>
        <w:tc>
          <w:tcPr>
            <w:tcW w:type="dxa" w:w="3168"/>
            <w:shd w:fill="F0F4F8"/>
            <w:tcMar>
              <w:top w:w="18" w:type="dxa"/>
              <w:bottom w:w="18" w:type="dxa"/>
              <w:left w:w="60" w:type="dxa"/>
              <w:right w:w="60" w:type="dxa"/>
            </w:tcMar>
          </w:tcPr>
          <w:p>
            <w:pPr>
              <w:spacing w:after="0"/>
            </w:pPr>
            <w:r>
              <w:rPr>
                <w:rFonts w:ascii="Arial" w:hAnsi="Arial"/>
                <w:b/>
                <w:color w:val="1B365D"/>
                <w:sz w:val="15"/>
              </w:rPr>
              <w:t>References</w:t>
            </w:r>
          </w:p>
        </w:tc>
        <w:tc>
          <w:tcPr>
            <w:tcW w:type="dxa" w:w="7344"/>
            <w:tcMar>
              <w:top w:w="18" w:type="dxa"/>
              <w:bottom w:w="18" w:type="dxa"/>
              <w:left w:w="60" w:type="dxa"/>
              <w:right w:w="60" w:type="dxa"/>
            </w:tcMar>
          </w:tcPr>
          <w:p>
            <w:pPr>
              <w:spacing w:after="0"/>
            </w:pPr>
            <w:r>
              <w:rPr>
                <w:rFonts w:ascii="Arial" w:hAnsi="Arial"/>
                <w:color w:val="222222"/>
                <w:sz w:val="15"/>
              </w:rPr>
              <w:t>DepEd Curriculum Guide &amp; Presentation Slides</w:t>
            </w:r>
          </w:p>
        </w:tc>
      </w:tr>
      <w:tr>
        <w:tc>
          <w:tcPr>
            <w:tcW w:type="dxa" w:w="3168"/>
            <w:shd w:fill="F0F4F8"/>
            <w:tcMar>
              <w:top w:w="18" w:type="dxa"/>
              <w:bottom w:w="18" w:type="dxa"/>
              <w:left w:w="60" w:type="dxa"/>
              <w:right w:w="60" w:type="dxa"/>
            </w:tcMar>
          </w:tcPr>
          <w:p>
            <w:pPr>
              <w:spacing w:after="0"/>
            </w:pPr>
            <w:r>
              <w:rPr>
                <w:rFonts w:ascii="Arial" w:hAnsi="Arial"/>
                <w:b/>
                <w:color w:val="1B365D"/>
                <w:sz w:val="15"/>
              </w:rPr>
              <w:t>Declaration of AI Use</w:t>
            </w:r>
          </w:p>
        </w:tc>
        <w:tc>
          <w:tcPr>
            <w:tcW w:type="dxa" w:w="7344"/>
            <w:tcMar>
              <w:top w:w="18" w:type="dxa"/>
              <w:bottom w:w="18" w:type="dxa"/>
              <w:left w:w="60" w:type="dxa"/>
              <w:right w:w="60" w:type="dxa"/>
            </w:tcMar>
          </w:tcPr>
          <w:p>
            <w:pPr>
              <w:spacing w:after="0"/>
            </w:pPr>
            <w:r>
              <w:rPr>
                <w:rFonts w:ascii="Arial" w:hAnsi="Arial"/>
                <w:color w:val="222222"/>
                <w:sz w:val="15"/>
              </w:rPr>
              <w:t>AI was utilized to structure content into DepEd Order No. 003, s. 2026 Annex A template &amp; align COT indicators.</w:t>
            </w:r>
          </w:p>
        </w:tc>
      </w:tr>
    </w:tbl>
    <w:p>
      <w:pPr>
        <w:spacing w:after="40"/>
      </w:pPr>
    </w:p>
    <w:tbl>
      <w:tblPr>
        <w:tblW w:type="auto" w:w="0"/>
        <w:jc w:val="center"/>
        <w:tblLook w:firstColumn="1" w:firstRow="1" w:lastColumn="0" w:lastRow="0" w:noHBand="0" w:noVBand="1" w:val="04A0"/>
      </w:tblPr>
      <w:tblGrid>
        <w:gridCol w:w="10800"/>
      </w:tblGrid>
      <w:tr>
        <w:tc>
          <w:tcPr>
            <w:tcW w:type="dxa" w:w="10800"/>
            <w:shd w:fill="2C4D75"/>
            <w:tcMar>
              <w:top w:w="25" w:type="dxa"/>
              <w:bottom w:w="25" w:type="dxa"/>
              <w:left w:w="60" w:type="dxa"/>
              <w:right w:w="60" w:type="dxa"/>
            </w:tcMar>
          </w:tcPr>
          <w:p>
            <w:pPr>
              <w:spacing w:after="0"/>
            </w:pPr>
            <w:r>
              <w:rPr>
                <w:rFonts w:ascii="Arial" w:hAnsi="Arial"/>
                <w:b/>
                <w:color w:val="FFFFFF"/>
                <w:sz w:val="17"/>
              </w:rPr>
              <w:t>1. INTENTIONS</w:t>
            </w:r>
          </w:p>
        </w:tc>
      </w:tr>
    </w:tbl>
    <w:p>
      <w:pPr>
        <w:spacing w:after="20"/>
      </w:pPr>
    </w:p>
    <w:tbl>
      <w:tblPr>
        <w:tblW w:type="auto" w:w="0"/>
        <w:jc w:val="center"/>
        <w:tblLook w:firstColumn="1" w:firstRow="1" w:lastColumn="0" w:lastRow="0" w:noHBand="0" w:noVBand="1" w:val="04A0"/>
        <w:tblBorders>
          <w:top w:val="single" w:sz="4" w:space="0" w:color="C8D3E0"/>
          <w:bottom w:val="single" w:sz="4" w:space="0" w:color="C8D3E0"/>
          <w:insideH w:val="single" w:sz="4" w:space="0" w:color="C8D3E0"/>
          <w:insideV w:val="single" w:sz="4" w:space="0" w:color="C8D3E0"/>
          <w:left w:val="none"/>
          <w:right w:val="none"/>
        </w:tblBorders>
      </w:tblPr>
      <w:tblGrid>
        <w:gridCol w:w="5400"/>
        <w:gridCol w:w="5400"/>
      </w:tblGrid>
      <w:tr>
        <w:tc>
          <w:tcPr>
            <w:tcW w:type="dxa" w:w="3168"/>
            <w:shd w:fill="F0F4F8"/>
            <w:tcMar>
              <w:top w:w="18" w:type="dxa"/>
              <w:bottom w:w="18" w:type="dxa"/>
              <w:left w:w="60" w:type="dxa"/>
              <w:right w:w="60" w:type="dxa"/>
            </w:tcMar>
          </w:tcPr>
          <w:p>
            <w:pPr>
              <w:spacing w:after="0"/>
            </w:pPr>
            <w:r>
              <w:rPr>
                <w:rFonts w:ascii="Arial" w:hAnsi="Arial"/>
                <w:b/>
                <w:color w:val="1B365D"/>
                <w:sz w:val="15"/>
              </w:rPr>
              <w:t>Learning Competency</w:t>
            </w:r>
          </w:p>
        </w:tc>
        <w:tc>
          <w:tcPr>
            <w:tcW w:type="dxa" w:w="7344"/>
            <w:tcMar>
              <w:top w:w="18" w:type="dxa"/>
              <w:bottom w:w="18" w:type="dxa"/>
              <w:left w:w="60" w:type="dxa"/>
              <w:right w:w="60" w:type="dxa"/>
            </w:tcMar>
          </w:tcPr>
          <w:p>
            <w:pPr>
              <w:spacing w:after="0"/>
            </w:pPr>
            <w:r>
              <w:rPr>
                <w:rFonts w:ascii="Arial" w:hAnsi="Arial"/>
                <w:color w:val="222222"/>
                <w:sz w:val="15"/>
              </w:rPr>
              <w:t>Graphs a linear function and values its real-life applications (domain, range, intercepts, and slope).</w:t>
            </w:r>
          </w:p>
        </w:tc>
      </w:tr>
      <w:tr>
        <w:tc>
          <w:tcPr>
            <w:tcW w:type="dxa" w:w="3168"/>
            <w:shd w:fill="F0F4F8"/>
            <w:tcMar>
              <w:top w:w="18" w:type="dxa"/>
              <w:bottom w:w="18" w:type="dxa"/>
              <w:left w:w="60" w:type="dxa"/>
              <w:right w:w="60" w:type="dxa"/>
            </w:tcMar>
          </w:tcPr>
          <w:p>
            <w:pPr>
              <w:spacing w:after="0"/>
            </w:pPr>
            <w:r>
              <w:rPr>
                <w:rFonts w:ascii="Arial" w:hAnsi="Arial"/>
                <w:b/>
                <w:color w:val="1B365D"/>
                <w:sz w:val="15"/>
              </w:rPr>
              <w:t>Learning Objectives</w:t>
            </w:r>
          </w:p>
        </w:tc>
        <w:tc>
          <w:tcPr>
            <w:tcW w:type="dxa" w:w="7344"/>
            <w:tcMar>
              <w:top w:w="18" w:type="dxa"/>
              <w:bottom w:w="18" w:type="dxa"/>
              <w:left w:w="60" w:type="dxa"/>
              <w:right w:w="60" w:type="dxa"/>
            </w:tcMar>
          </w:tcPr>
          <w:p>
            <w:pPr>
              <w:spacing w:after="0"/>
            </w:pPr>
            <w:r>
              <w:rPr>
                <w:rFonts w:ascii="Arial" w:hAnsi="Arial"/>
                <w:color w:val="222222"/>
                <w:sz w:val="15"/>
              </w:rPr>
              <w:t>1. Graph linear equations by constructing a table of values and plotting points on the Cartesian plane.</w:t>
              <w:br/>
              <w:t>2. Interpret the slope and y-intercept within real-life contexts, such as airline baggage fees and infant weight monitoring.</w:t>
              <w:br/>
              <w:t>3. Show cooperative engagement during differentiated group activities to complete mathematical challenges.</w:t>
            </w:r>
            <w:r>
              <w:rPr>
                <w:rFonts w:ascii="Arial" w:hAnsi="Arial"/>
                <w:b/>
                <w:color w:val="B40000"/>
                <w:sz w:val="15"/>
                <w:highlight w:val="yellow"/>
              </w:rPr>
              <w:br/>
              <w:br/>
              <w:t>📌 [COT INDICATOR: 1.4.2: Use a range of teaching strategies that enhance learner achievement in literacy and numeracy skills.]</w:t>
            </w:r>
          </w:p>
        </w:tc>
      </w:tr>
      <w:tr>
        <w:tc>
          <w:tcPr>
            <w:tcW w:type="dxa" w:w="3168"/>
            <w:shd w:fill="F0F4F8"/>
            <w:tcMar>
              <w:top w:w="18" w:type="dxa"/>
              <w:bottom w:w="18" w:type="dxa"/>
              <w:left w:w="60" w:type="dxa"/>
              <w:right w:w="60" w:type="dxa"/>
            </w:tcMar>
          </w:tcPr>
          <w:p>
            <w:pPr>
              <w:spacing w:after="0"/>
            </w:pPr>
            <w:r>
              <w:rPr>
                <w:rFonts w:ascii="Arial" w:hAnsi="Arial"/>
                <w:b/>
                <w:color w:val="1B365D"/>
                <w:sz w:val="15"/>
              </w:rPr>
              <w:t>Learner Context</w:t>
            </w:r>
          </w:p>
        </w:tc>
        <w:tc>
          <w:tcPr>
            <w:tcW w:type="dxa" w:w="7344"/>
            <w:tcMar>
              <w:top w:w="18" w:type="dxa"/>
              <w:bottom w:w="18" w:type="dxa"/>
              <w:left w:w="60" w:type="dxa"/>
              <w:right w:w="60" w:type="dxa"/>
            </w:tcMar>
          </w:tcPr>
          <w:p>
            <w:pPr>
              <w:spacing w:after="0"/>
            </w:pPr>
            <w:r>
              <w:rPr>
                <w:rFonts w:ascii="Arial" w:hAnsi="Arial"/>
                <w:color w:val="222222"/>
                <w:sz w:val="15"/>
              </w:rPr>
              <w:t>The Grade 9 - Kindness class is a mixed-ability group of learners with varied mathematical inclinations. Visual and kinesthetic learners benefit from coordinate plotting exercises, while logical-mathematical thinkers appreciate contextual applications (like airline baggage calculations and growth tracking). Differentiated experiences help bridge the achievement gap across these diverse learner profiles.</w:t>
            </w:r>
            <w:r>
              <w:rPr>
                <w:rFonts w:ascii="Arial" w:hAnsi="Arial"/>
                <w:b/>
                <w:color w:val="B40000"/>
                <w:sz w:val="15"/>
                <w:highlight w:val="yellow"/>
              </w:rPr>
              <w:br/>
              <w:br/>
              <w:t>📌 [COT INDICATOR: 3.1.2: Use differentiated, developmentally appropriate learning experiences to address learners' gender, needs, strengths, interests and experiences.]</w:t>
            </w:r>
          </w:p>
        </w:tc>
      </w:tr>
    </w:tbl>
    <w:p>
      <w:pPr>
        <w:spacing w:after="40"/>
      </w:pPr>
    </w:p>
    <w:tbl>
      <w:tblPr>
        <w:tblW w:type="auto" w:w="0"/>
        <w:jc w:val="center"/>
        <w:tblLook w:firstColumn="1" w:firstRow="1" w:lastColumn="0" w:lastRow="0" w:noHBand="0" w:noVBand="1" w:val="04A0"/>
      </w:tblPr>
      <w:tblGrid>
        <w:gridCol w:w="10800"/>
      </w:tblGrid>
      <w:tr>
        <w:tc>
          <w:tcPr>
            <w:tcW w:type="dxa" w:w="10800"/>
            <w:shd w:fill="2C4D75"/>
            <w:tcMar>
              <w:top w:w="25" w:type="dxa"/>
              <w:bottom w:w="25" w:type="dxa"/>
              <w:left w:w="60" w:type="dxa"/>
              <w:right w:w="60" w:type="dxa"/>
            </w:tcMar>
          </w:tcPr>
          <w:p>
            <w:pPr>
              <w:spacing w:after="0"/>
            </w:pPr>
            <w:r>
              <w:rPr>
                <w:rFonts w:ascii="Arial" w:hAnsi="Arial"/>
                <w:b/>
                <w:color w:val="FFFFFF"/>
                <w:sz w:val="17"/>
              </w:rPr>
              <w:t>2. LEARNING EXPERIENCE</w:t>
            </w:r>
          </w:p>
        </w:tc>
      </w:tr>
    </w:tbl>
    <w:p>
      <w:pPr>
        <w:spacing w:after="20"/>
      </w:pPr>
    </w:p>
    <w:tbl>
      <w:tblPr>
        <w:tblW w:type="auto" w:w="0"/>
        <w:jc w:val="center"/>
        <w:tblLook w:firstColumn="1" w:firstRow="1" w:lastColumn="0" w:lastRow="0" w:noHBand="0" w:noVBand="1" w:val="04A0"/>
        <w:tblBorders>
          <w:top w:val="single" w:sz="4" w:space="0" w:color="C8D3E0"/>
          <w:bottom w:val="single" w:sz="4" w:space="0" w:color="C8D3E0"/>
          <w:insideH w:val="single" w:sz="4" w:space="0" w:color="C8D3E0"/>
          <w:insideV w:val="single" w:sz="4" w:space="0" w:color="C8D3E0"/>
          <w:left w:val="none"/>
          <w:right w:val="none"/>
        </w:tblBorders>
      </w:tblPr>
      <w:tblGrid>
        <w:gridCol w:w="5400"/>
        <w:gridCol w:w="5400"/>
      </w:tblGrid>
      <w:tr>
        <w:tc>
          <w:tcPr>
            <w:tcW w:type="dxa" w:w="3168"/>
            <w:shd w:fill="F0F4F8"/>
            <w:tcMar>
              <w:top w:w="18" w:type="dxa"/>
              <w:bottom w:w="18" w:type="dxa"/>
              <w:left w:w="60" w:type="dxa"/>
              <w:right w:w="60" w:type="dxa"/>
            </w:tcMar>
          </w:tcPr>
          <w:p>
            <w:pPr>
              <w:spacing w:after="0"/>
            </w:pPr>
            <w:r>
              <w:rPr>
                <w:rFonts w:ascii="Arial" w:hAnsi="Arial"/>
                <w:b/>
                <w:color w:val="1B365D"/>
                <w:sz w:val="15"/>
              </w:rPr>
              <w:t>Pre-Lesson</w:t>
              <w:br/>
              <w:t>(Getting Ready)</w:t>
            </w:r>
          </w:p>
        </w:tc>
        <w:tc>
          <w:tcPr>
            <w:tcW w:type="dxa" w:w="7344"/>
            <w:tcMar>
              <w:top w:w="18" w:type="dxa"/>
              <w:bottom w:w="18" w:type="dxa"/>
              <w:left w:w="60" w:type="dxa"/>
              <w:right w:w="60" w:type="dxa"/>
            </w:tcMar>
          </w:tcPr>
          <w:p>
            <w:pPr>
              <w:spacing w:after="0"/>
            </w:pPr>
            <w:r>
              <w:rPr>
                <w:rFonts w:ascii="Arial" w:hAnsi="Arial"/>
                <w:color w:val="222222"/>
                <w:sz w:val="15"/>
              </w:rPr>
              <w:t>Conduct a brief 'Coordinate Hunt' diagnostic game to test plotting concepts (Checkpoint). Establish non-verbal signals and positive feedback systems to ensure a safe, organized, and encouraging environment. Review key numeracy concepts of operations on signed numbers before introducing the linear framework.</w:t>
            </w:r>
            <w:r>
              <w:rPr>
                <w:rFonts w:ascii="Arial" w:hAnsi="Arial"/>
                <w:b/>
                <w:color w:val="B40000"/>
                <w:sz w:val="15"/>
                <w:highlight w:val="yellow"/>
              </w:rPr>
              <w:br/>
              <w:br/>
              <w:t>📌 [COT INDICATOR: 1.4.2: Use a range of teaching strategies that enhance learner achievement in literacy and numeracy skills.]</w:t>
            </w:r>
            <w:r>
              <w:rPr>
                <w:rFonts w:ascii="Arial" w:hAnsi="Arial"/>
                <w:b/>
                <w:color w:val="B40000"/>
                <w:sz w:val="15"/>
                <w:highlight w:val="yellow"/>
              </w:rPr>
              <w:br/>
              <w:br/>
              <w:t>📌 [COT INDICATOR: 2.6.2: Manage learner behavior constructively by applying positive and non-violent discipline.]</w:t>
            </w:r>
          </w:p>
        </w:tc>
      </w:tr>
      <w:tr>
        <w:tc>
          <w:tcPr>
            <w:tcW w:type="dxa" w:w="3168"/>
            <w:shd w:fill="F0F4F8"/>
            <w:tcMar>
              <w:top w:w="18" w:type="dxa"/>
              <w:bottom w:w="18" w:type="dxa"/>
              <w:left w:w="60" w:type="dxa"/>
              <w:right w:w="60" w:type="dxa"/>
            </w:tcMar>
          </w:tcPr>
          <w:p>
            <w:pPr>
              <w:spacing w:after="0"/>
            </w:pPr>
            <w:r>
              <w:rPr>
                <w:rFonts w:ascii="Arial" w:hAnsi="Arial"/>
                <w:b/>
                <w:color w:val="1B365D"/>
                <w:sz w:val="15"/>
              </w:rPr>
              <w:t>Instructional Flow &amp;</w:t>
              <w:br/>
              <w:t>Direct Modeling</w:t>
            </w:r>
          </w:p>
        </w:tc>
        <w:tc>
          <w:tcPr>
            <w:tcW w:type="dxa" w:w="7344"/>
            <w:tcMar>
              <w:top w:w="18" w:type="dxa"/>
              <w:bottom w:w="18" w:type="dxa"/>
              <w:left w:w="60" w:type="dxa"/>
              <w:right w:w="60" w:type="dxa"/>
            </w:tcMar>
          </w:tcPr>
          <w:p>
            <w:pPr>
              <w:spacing w:after="0"/>
            </w:pPr>
            <w:r>
              <w:rPr>
                <w:rFonts w:ascii="Arial" w:hAnsi="Arial"/>
                <w:color w:val="222222"/>
                <w:sz w:val="15"/>
              </w:rPr>
              <w:t>Explain how to graph the linear equation y = 3x - 4 (Example #1) and y = -0.5x - 2 (Example #2) on the slide screen. Use color-coded ICT-assisted plotting animations to illustrate the step-by-step substitution of values (x = -4, -2, 0, 2). Highlight the role of science and health integration when calculating changes over time (e.g., growth weights).</w:t>
            </w:r>
            <w:r>
              <w:rPr>
                <w:rFonts w:ascii="Arial" w:hAnsi="Arial"/>
                <w:b/>
                <w:color w:val="B40000"/>
                <w:sz w:val="15"/>
                <w:highlight w:val="yellow"/>
              </w:rPr>
              <w:br/>
              <w:br/>
              <w:t>📌 [COT INDICATOR: 1.1.2: Apply knowledge of content within and across curriculum teaching areas.]</w:t>
            </w:r>
            <w:r>
              <w:rPr>
                <w:rFonts w:ascii="Arial" w:hAnsi="Arial"/>
                <w:b/>
                <w:color w:val="B40000"/>
                <w:sz w:val="15"/>
                <w:highlight w:val="yellow"/>
              </w:rPr>
              <w:br/>
              <w:br/>
              <w:t>📌 [COT INDICATOR: 4.5.2: Select, develop, organize, and use appropriate teaching and learning resources, including ICT.]</w:t>
            </w:r>
          </w:p>
        </w:tc>
      </w:tr>
      <w:tr>
        <w:tc>
          <w:tcPr>
            <w:tcW w:type="dxa" w:w="3168"/>
            <w:shd w:fill="F0F4F8"/>
            <w:tcMar>
              <w:top w:w="18" w:type="dxa"/>
              <w:bottom w:w="18" w:type="dxa"/>
              <w:left w:w="60" w:type="dxa"/>
              <w:right w:w="60" w:type="dxa"/>
            </w:tcMar>
          </w:tcPr>
          <w:p>
            <w:pPr>
              <w:spacing w:after="0"/>
            </w:pPr>
            <w:r>
              <w:rPr>
                <w:rFonts w:ascii="Arial" w:hAnsi="Arial"/>
                <w:b/>
                <w:color w:val="1B365D"/>
                <w:sz w:val="15"/>
              </w:rPr>
              <w:t>Collaborative Group</w:t>
              <w:br/>
              <w:t>Activity</w:t>
            </w:r>
          </w:p>
        </w:tc>
        <w:tc>
          <w:tcPr>
            <w:tcW w:type="dxa" w:w="7344"/>
            <w:tcMar>
              <w:top w:w="18" w:type="dxa"/>
              <w:bottom w:w="18" w:type="dxa"/>
              <w:left w:w="60" w:type="dxa"/>
              <w:right w:w="60" w:type="dxa"/>
            </w:tcMar>
          </w:tcPr>
          <w:p>
            <w:pPr>
              <w:spacing w:after="0"/>
            </w:pPr>
            <w:r>
              <w:rPr>
                <w:rFonts w:ascii="Arial" w:hAnsi="Arial"/>
                <w:color w:val="222222"/>
                <w:sz w:val="15"/>
              </w:rPr>
              <w:t>Assign group tasks with varied complexities: Group 1 (y = x + 2) and Group 3 (2x + y = -5) use basic integers; Group 2 (Airline luggage fee: y = 2x + 5) and Group 4 (Infant weight tracking: y = 0.8x + 3) apply equations to real-life contextual issues on physical poster sheets. Walk around to moderate discussions and manage cooperative structures.</w:t>
            </w:r>
            <w:r>
              <w:rPr>
                <w:rFonts w:ascii="Arial" w:hAnsi="Arial"/>
                <w:b/>
                <w:color w:val="B40000"/>
                <w:sz w:val="15"/>
                <w:highlight w:val="yellow"/>
              </w:rPr>
              <w:br/>
              <w:br/>
              <w:t>📌 [COT INDICATOR: 2.3.2: Manage classroom structure to engage learners in meaningful exploration, discovery and hands-on activities.]</w:t>
            </w:r>
            <w:r>
              <w:rPr>
                <w:rFonts w:ascii="Arial" w:hAnsi="Arial"/>
                <w:b/>
                <w:color w:val="B40000"/>
                <w:sz w:val="15"/>
                <w:highlight w:val="yellow"/>
              </w:rPr>
              <w:br/>
              <w:br/>
              <w:t>📌 [COT INDICATOR: 3.1.2: Use differentiated, developmentally appropriate learning experiences to address learners' gender, needs, strengths, interests and experiences.]</w:t>
            </w:r>
          </w:p>
        </w:tc>
      </w:tr>
      <w:tr>
        <w:tc>
          <w:tcPr>
            <w:tcW w:type="dxa" w:w="3168"/>
            <w:shd w:fill="F0F4F8"/>
            <w:tcMar>
              <w:top w:w="18" w:type="dxa"/>
              <w:bottom w:w="18" w:type="dxa"/>
              <w:left w:w="60" w:type="dxa"/>
              <w:right w:w="60" w:type="dxa"/>
            </w:tcMar>
          </w:tcPr>
          <w:p>
            <w:pPr>
              <w:spacing w:after="0"/>
            </w:pPr>
            <w:r>
              <w:rPr>
                <w:rFonts w:ascii="Arial" w:hAnsi="Arial"/>
                <w:b/>
                <w:color w:val="1B365D"/>
                <w:sz w:val="15"/>
              </w:rPr>
              <w:t>Synthesis &amp; Resources</w:t>
            </w:r>
          </w:p>
        </w:tc>
        <w:tc>
          <w:tcPr>
            <w:tcW w:type="dxa" w:w="7344"/>
            <w:tcMar>
              <w:top w:w="18" w:type="dxa"/>
              <w:bottom w:w="18" w:type="dxa"/>
              <w:left w:w="60" w:type="dxa"/>
              <w:right w:w="60" w:type="dxa"/>
            </w:tcMar>
          </w:tcPr>
          <w:p>
            <w:pPr>
              <w:spacing w:after="0"/>
            </w:pPr>
            <w:r>
              <w:rPr>
                <w:rFonts w:ascii="Arial" w:hAnsi="Arial"/>
                <w:color w:val="222222"/>
                <w:sz w:val="15"/>
              </w:rPr>
              <w:t>Facilitate a structured debrief centered on three essential questions: 1. What are the three steps in graphing a linear function? 2. What form of linear equation is easier to graph? 3. Why is it important to use at least three points when graphing a line? Prompt students to think about how minor mathematical errors can drastically alter real-life models like weight health diagnostics.</w:t>
            </w:r>
            <w:r>
              <w:rPr>
                <w:rFonts w:ascii="Arial" w:hAnsi="Arial"/>
                <w:b/>
                <w:color w:val="B40000"/>
                <w:sz w:val="15"/>
                <w:highlight w:val="yellow"/>
              </w:rPr>
              <w:br/>
              <w:br/>
              <w:t>📌 [COT INDICATOR: 1.5.2: Apply a range of teaching strategies to develop critical and creative thinking, as well as other higher-order thinking skills.]</w:t>
            </w:r>
          </w:p>
        </w:tc>
      </w:tr>
      <w:tr>
        <w:tc>
          <w:tcPr>
            <w:tcW w:type="dxa" w:w="3168"/>
            <w:shd w:fill="F0F4F8"/>
            <w:tcMar>
              <w:top w:w="18" w:type="dxa"/>
              <w:bottom w:w="18" w:type="dxa"/>
              <w:left w:w="60" w:type="dxa"/>
              <w:right w:w="60" w:type="dxa"/>
            </w:tcMar>
          </w:tcPr>
          <w:p>
            <w:pPr>
              <w:spacing w:after="0"/>
            </w:pPr>
            <w:r>
              <w:rPr>
                <w:rFonts w:ascii="Arial" w:hAnsi="Arial"/>
                <w:b/>
                <w:color w:val="1B365D"/>
                <w:sz w:val="15"/>
              </w:rPr>
              <w:t>Opportunities for</w:t>
              <w:br/>
              <w:t>Integration</w:t>
            </w:r>
          </w:p>
        </w:tc>
        <w:tc>
          <w:tcPr>
            <w:tcW w:type="dxa" w:w="7344"/>
            <w:tcMar>
              <w:top w:w="18" w:type="dxa"/>
              <w:bottom w:w="18" w:type="dxa"/>
              <w:left w:w="60" w:type="dxa"/>
              <w:right w:w="60" w:type="dxa"/>
            </w:tcMar>
          </w:tcPr>
          <w:p>
            <w:pPr>
              <w:spacing w:after="0"/>
            </w:pPr>
            <w:r>
              <w:rPr>
                <w:rFonts w:ascii="Arial" w:hAnsi="Arial"/>
                <w:color w:val="222222"/>
                <w:sz w:val="15"/>
              </w:rPr>
              <w:t>Incorporate cross-curricular linkages with Health/Pediatrics (monitoring infant birth weight development over time) and Business/Economics (calculating baggage fee rates in travel industries) to demonstrate practical uses of math.</w:t>
            </w:r>
            <w:r>
              <w:rPr>
                <w:rFonts w:ascii="Arial" w:hAnsi="Arial"/>
                <w:b/>
                <w:color w:val="B40000"/>
                <w:sz w:val="15"/>
                <w:highlight w:val="yellow"/>
              </w:rPr>
              <w:br/>
              <w:br/>
              <w:t>📌 [COT INDICATOR: 1.1.2: Apply knowledge of content within and across curriculum teaching areas.]</w:t>
            </w:r>
          </w:p>
        </w:tc>
      </w:tr>
    </w:tbl>
    <w:p>
      <w:pPr>
        <w:spacing w:after="40"/>
      </w:pPr>
    </w:p>
    <w:tbl>
      <w:tblPr>
        <w:tblW w:type="auto" w:w="0"/>
        <w:jc w:val="center"/>
        <w:tblLook w:firstColumn="1" w:firstRow="1" w:lastColumn="0" w:lastRow="0" w:noHBand="0" w:noVBand="1" w:val="04A0"/>
      </w:tblPr>
      <w:tblGrid>
        <w:gridCol w:w="10800"/>
      </w:tblGrid>
      <w:tr>
        <w:tc>
          <w:tcPr>
            <w:tcW w:type="dxa" w:w="10800"/>
            <w:shd w:fill="2C4D75"/>
            <w:tcMar>
              <w:top w:w="25" w:type="dxa"/>
              <w:bottom w:w="25" w:type="dxa"/>
              <w:left w:w="60" w:type="dxa"/>
              <w:right w:w="60" w:type="dxa"/>
            </w:tcMar>
          </w:tcPr>
          <w:p>
            <w:pPr>
              <w:spacing w:after="0"/>
            </w:pPr>
            <w:r>
              <w:rPr>
                <w:rFonts w:ascii="Arial" w:hAnsi="Arial"/>
                <w:b/>
                <w:color w:val="FFFFFF"/>
                <w:sz w:val="17"/>
              </w:rPr>
              <w:t>3. ASSESSMENT</w:t>
            </w:r>
          </w:p>
        </w:tc>
      </w:tr>
    </w:tbl>
    <w:p>
      <w:pPr>
        <w:spacing w:after="20"/>
      </w:pPr>
    </w:p>
    <w:tbl>
      <w:tblPr>
        <w:tblW w:type="auto" w:w="0"/>
        <w:jc w:val="center"/>
        <w:tblLook w:firstColumn="1" w:firstRow="1" w:lastColumn="0" w:lastRow="0" w:noHBand="0" w:noVBand="1" w:val="04A0"/>
        <w:tblBorders>
          <w:top w:val="single" w:sz="4" w:space="0" w:color="C8D3E0"/>
          <w:bottom w:val="single" w:sz="4" w:space="0" w:color="C8D3E0"/>
          <w:insideH w:val="single" w:sz="4" w:space="0" w:color="C8D3E0"/>
          <w:insideV w:val="single" w:sz="4" w:space="0" w:color="C8D3E0"/>
          <w:left w:val="none"/>
          <w:right w:val="none"/>
        </w:tblBorders>
      </w:tblPr>
      <w:tblGrid>
        <w:gridCol w:w="5400"/>
        <w:gridCol w:w="5400"/>
      </w:tblGrid>
      <w:tr>
        <w:tc>
          <w:tcPr>
            <w:tcW w:type="dxa" w:w="3168"/>
            <w:shd w:fill="F0F4F8"/>
            <w:tcMar>
              <w:top w:w="18" w:type="dxa"/>
              <w:bottom w:w="18" w:type="dxa"/>
              <w:left w:w="60" w:type="dxa"/>
              <w:right w:w="60" w:type="dxa"/>
            </w:tcMar>
          </w:tcPr>
          <w:p>
            <w:pPr>
              <w:spacing w:after="0"/>
            </w:pPr>
            <w:r>
              <w:rPr>
                <w:rFonts w:ascii="Arial" w:hAnsi="Arial"/>
                <w:b/>
                <w:color w:val="1B365D"/>
                <w:sz w:val="15"/>
              </w:rPr>
              <w:t>Formative Assessment</w:t>
              <w:br/>
              <w:t>(Individual Evaluation)</w:t>
            </w:r>
          </w:p>
        </w:tc>
        <w:tc>
          <w:tcPr>
            <w:tcW w:type="dxa" w:w="7344"/>
            <w:tcMar>
              <w:top w:w="18" w:type="dxa"/>
              <w:bottom w:w="18" w:type="dxa"/>
              <w:left w:w="60" w:type="dxa"/>
              <w:right w:w="60" w:type="dxa"/>
            </w:tcMar>
          </w:tcPr>
          <w:p>
            <w:pPr>
              <w:spacing w:after="0"/>
            </w:pPr>
            <w:r>
              <w:rPr>
                <w:rFonts w:ascii="Arial" w:hAnsi="Arial"/>
                <w:color w:val="222222"/>
                <w:sz w:val="15"/>
              </w:rPr>
              <w:t>Conduct a formative 'Graph Checkpoint' evaluation on paper. Students are given the equation y = -2x + 2, and must find three coordinate points, construct a table of values, and trace the line. Teachers track results instantly to adapt remediation.</w:t>
            </w:r>
            <w:r>
              <w:rPr>
                <w:rFonts w:ascii="Arial" w:hAnsi="Arial"/>
                <w:b/>
                <w:color w:val="B40000"/>
                <w:sz w:val="15"/>
                <w:highlight w:val="yellow"/>
              </w:rPr>
              <w:br/>
              <w:br/>
              <w:t>📌 [COT INDICATOR: 4.1.2: Design, select, organize, and use diagnostic, formative, and summative assessment strategies.]</w:t>
            </w:r>
            <w:r>
              <w:rPr>
                <w:rFonts w:ascii="Arial" w:hAnsi="Arial"/>
                <w:b/>
                <w:color w:val="B40000"/>
                <w:sz w:val="15"/>
                <w:highlight w:val="yellow"/>
              </w:rPr>
              <w:br/>
              <w:br/>
              <w:t>📌 [COT INDICATOR: 5.1.2: Design, develop, organize, and use diagnostic, formative, and summative assessment strategies.]</w:t>
            </w:r>
          </w:p>
        </w:tc>
      </w:tr>
    </w:tbl>
    <w:p>
      <w:pPr>
        <w:spacing w:after="40"/>
      </w:pPr>
    </w:p>
    <w:tbl>
      <w:tblPr>
        <w:tblW w:type="auto" w:w="0"/>
        <w:jc w:val="center"/>
        <w:tblLook w:firstColumn="1" w:firstRow="1" w:lastColumn="0" w:lastRow="0" w:noHBand="0" w:noVBand="1" w:val="04A0"/>
      </w:tblPr>
      <w:tblGrid>
        <w:gridCol w:w="10800"/>
      </w:tblGrid>
      <w:tr>
        <w:tc>
          <w:tcPr>
            <w:tcW w:type="dxa" w:w="10800"/>
            <w:shd w:fill="2C4D75"/>
            <w:tcMar>
              <w:top w:w="25" w:type="dxa"/>
              <w:bottom w:w="25" w:type="dxa"/>
              <w:left w:w="60" w:type="dxa"/>
              <w:right w:w="60" w:type="dxa"/>
            </w:tcMar>
          </w:tcPr>
          <w:p>
            <w:pPr>
              <w:spacing w:after="0"/>
            </w:pPr>
            <w:r>
              <w:rPr>
                <w:rFonts w:ascii="Arial" w:hAnsi="Arial"/>
                <w:b/>
                <w:color w:val="FFFFFF"/>
                <w:sz w:val="17"/>
              </w:rPr>
              <w:t>4. WAYS FORWARD</w:t>
            </w:r>
          </w:p>
        </w:tc>
      </w:tr>
    </w:tbl>
    <w:p>
      <w:pPr>
        <w:spacing w:after="20"/>
      </w:pPr>
    </w:p>
    <w:tbl>
      <w:tblPr>
        <w:tblW w:type="auto" w:w="0"/>
        <w:jc w:val="center"/>
        <w:tblLook w:firstColumn="1" w:firstRow="1" w:lastColumn="0" w:lastRow="0" w:noHBand="0" w:noVBand="1" w:val="04A0"/>
        <w:tblBorders>
          <w:top w:val="single" w:sz="4" w:space="0" w:color="C8D3E0"/>
          <w:bottom w:val="single" w:sz="4" w:space="0" w:color="C8D3E0"/>
          <w:insideH w:val="single" w:sz="4" w:space="0" w:color="C8D3E0"/>
          <w:insideV w:val="single" w:sz="4" w:space="0" w:color="C8D3E0"/>
          <w:left w:val="none"/>
          <w:right w:val="none"/>
        </w:tblBorders>
      </w:tblPr>
      <w:tblGrid>
        <w:gridCol w:w="5400"/>
        <w:gridCol w:w="5400"/>
      </w:tblGrid>
      <w:tr>
        <w:tc>
          <w:tcPr>
            <w:tcW w:type="dxa" w:w="3168"/>
            <w:shd w:fill="F0F4F8"/>
            <w:tcMar>
              <w:top w:w="18" w:type="dxa"/>
              <w:bottom w:w="18" w:type="dxa"/>
              <w:left w:w="60" w:type="dxa"/>
              <w:right w:w="60" w:type="dxa"/>
            </w:tcMar>
          </w:tcPr>
          <w:p>
            <w:pPr>
              <w:spacing w:after="0"/>
            </w:pPr>
            <w:r>
              <w:rPr>
                <w:rFonts w:ascii="Arial" w:hAnsi="Arial"/>
                <w:b/>
                <w:color w:val="1B365D"/>
                <w:sz w:val="15"/>
              </w:rPr>
              <w:t>Extended Learning</w:t>
              <w:br/>
              <w:t>Opportunities</w:t>
            </w:r>
          </w:p>
        </w:tc>
        <w:tc>
          <w:tcPr>
            <w:tcW w:type="dxa" w:w="7344"/>
            <w:tcMar>
              <w:top w:w="18" w:type="dxa"/>
              <w:bottom w:w="18" w:type="dxa"/>
              <w:left w:w="60" w:type="dxa"/>
              <w:right w:w="60" w:type="dxa"/>
            </w:tcMar>
          </w:tcPr>
          <w:p>
            <w:pPr>
              <w:spacing w:after="0"/>
            </w:pPr>
            <w:r>
              <w:rPr>
                <w:rFonts w:ascii="Arial" w:hAnsi="Arial"/>
                <w:color w:val="222222"/>
                <w:sz w:val="15"/>
              </w:rPr>
              <w:t>Assign the 'Infant Growth Challenge': Solve y = 0.9x + 3 for x = 0, 3, 6, and 12. Plot the resulting coordinates on graph paper and submit a brief interpretation identifying the y-intercept (3) as the initial birth weight of the infant.</w:t>
            </w:r>
          </w:p>
        </w:tc>
      </w:tr>
      <w:tr>
        <w:tc>
          <w:tcPr>
            <w:tcW w:type="dxa" w:w="3168"/>
            <w:shd w:fill="F0F4F8"/>
            <w:tcMar>
              <w:top w:w="18" w:type="dxa"/>
              <w:bottom w:w="18" w:type="dxa"/>
              <w:left w:w="60" w:type="dxa"/>
              <w:right w:w="60" w:type="dxa"/>
            </w:tcMar>
          </w:tcPr>
          <w:p>
            <w:pPr>
              <w:spacing w:after="0"/>
            </w:pPr>
            <w:r>
              <w:rPr>
                <w:rFonts w:ascii="Arial" w:hAnsi="Arial"/>
                <w:b/>
                <w:color w:val="1B365D"/>
                <w:sz w:val="15"/>
              </w:rPr>
              <w:t>Teacher Reflections</w:t>
            </w:r>
          </w:p>
        </w:tc>
        <w:tc>
          <w:tcPr>
            <w:tcW w:type="dxa" w:w="7344"/>
            <w:tcMar>
              <w:top w:w="18" w:type="dxa"/>
              <w:bottom w:w="18" w:type="dxa"/>
              <w:left w:w="60" w:type="dxa"/>
              <w:right w:w="60" w:type="dxa"/>
            </w:tcMar>
          </w:tcPr>
          <w:p>
            <w:pPr>
              <w:spacing w:after="0"/>
            </w:pPr>
            <w:r>
              <w:rPr>
                <w:rFonts w:ascii="Arial" w:hAnsi="Arial"/>
                <w:color w:val="222222"/>
                <w:sz w:val="15"/>
              </w:rPr>
              <w:t>Reflect on how students reacted to the decimal coefficients in the infant growth graph. Note the effectiveness of peer coaching during the group work and record the percentage of students showing mastery in drawing linear lines accurately.</w:t>
            </w:r>
          </w:p>
        </w:tc>
      </w:tr>
    </w:tbl>
    <w:p>
      <w:pPr>
        <w:spacing w:after="40"/>
      </w:pPr>
    </w:p>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