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Experiment protocol</w:t>
      </w:r>
    </w:p>
    <w:p>
      <w:pPr>
        <w:pStyle w:val="FirstParagraph"/>
      </w:pPr>
      <w:r>
        <w:rPr>
          <w:b/>
          <w:bCs/>
        </w:rPr>
        <w:t xml:space="preserve">Visual Discrimination of Vocal Production Types from Spectrograms</w:t>
      </w:r>
    </w:p>
    <w:bookmarkStart w:id="9" w:name="background-and-motivation"/>
    <w:p>
      <w:pPr>
        <w:pStyle w:val="Heading2"/>
      </w:pPr>
      <w:r>
        <w:rPr>
          <w:b/>
          <w:bCs/>
        </w:rPr>
        <w:t xml:space="preserve">Background and Motivation</w:t>
      </w:r>
    </w:p>
    <w:p>
      <w:pPr>
        <w:pStyle w:val="FirstParagraph"/>
      </w:pPr>
      <w:r>
        <w:t xml:space="preserve">Speech, singing, and nonverbal vocalizations differ acoustically in systematic ways. Spectrograms encode time–frequency structure and may visually convey these differences.</w:t>
      </w:r>
      <w:r>
        <w:br/>
      </w:r>
      <w:r>
        <w:t xml:space="preserve">This experiment aims to examine whether naïve participants can discriminate vocal production types from spectrogram images alone, and how they visually process these representations.</w:t>
      </w:r>
      <w:r>
        <w:br/>
      </w:r>
      <w:r>
        <w:t xml:space="preserve">The results will provide:</w:t>
      </w:r>
    </w:p>
    <w:p>
      <w:pPr>
        <w:pStyle w:val="Compact"/>
        <w:numPr>
          <w:ilvl w:val="0"/>
          <w:numId w:val="1001"/>
        </w:numPr>
      </w:pPr>
      <w:r>
        <w:t xml:space="preserve">A baseline evaluation of spectrograms as representational tools</w:t>
      </w:r>
    </w:p>
    <w:p>
      <w:pPr>
        <w:pStyle w:val="Compact"/>
        <w:numPr>
          <w:ilvl w:val="0"/>
          <w:numId w:val="1001"/>
        </w:numPr>
      </w:pPr>
      <w:r>
        <w:t xml:space="preserve">Insight into visual attention strategies during crossmodal interpretation</w:t>
      </w:r>
    </w:p>
    <w:p>
      <w:pPr>
        <w:pStyle w:val="Compact"/>
        <w:numPr>
          <w:ilvl w:val="0"/>
          <w:numId w:val="1001"/>
        </w:numPr>
      </w:pPr>
      <w:r>
        <w:t xml:space="preserve">Foundations for future voice-visualization interfaces and/or sensory substitution systems)</w:t>
      </w:r>
    </w:p>
    <w:bookmarkEnd w:id="9"/>
    <w:bookmarkStart w:id="10" w:name="research-questions"/>
    <w:p>
      <w:pPr>
        <w:pStyle w:val="Heading2"/>
      </w:pPr>
      <w:r>
        <w:t xml:space="preserve">Research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 naive participants discriminate between speech, singing, and nonverbal vocalizations based on spectrogram images?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Which visual regions and features do participants rely on when making their decisions?</w:t>
      </w:r>
    </w:p>
    <w:bookmarkEnd w:id="10"/>
    <w:bookmarkStart w:id="11" w:name="participants"/>
    <w:p>
      <w:pPr>
        <w:pStyle w:val="Heading2"/>
      </w:pPr>
      <w:r>
        <w:t xml:space="preserve">Participants</w:t>
      </w:r>
    </w:p>
    <w:p>
      <w:pPr>
        <w:pStyle w:val="Compact"/>
        <w:numPr>
          <w:ilvl w:val="0"/>
          <w:numId w:val="1003"/>
        </w:numPr>
      </w:pPr>
      <w:r>
        <w:t xml:space="preserve">20–30 adult participants</w:t>
      </w:r>
    </w:p>
    <w:p>
      <w:pPr>
        <w:pStyle w:val="Compact"/>
        <w:numPr>
          <w:ilvl w:val="0"/>
          <w:numId w:val="1003"/>
        </w:numPr>
      </w:pPr>
      <w:r>
        <w:t xml:space="preserve">No formal training in acoustics required</w:t>
      </w:r>
    </w:p>
    <w:p>
      <w:pPr>
        <w:pStyle w:val="Compact"/>
        <w:numPr>
          <w:ilvl w:val="0"/>
          <w:numId w:val="1003"/>
        </w:numPr>
      </w:pPr>
      <w:r>
        <w:t xml:space="preserve">Normal or corrected-to-normal vision</w:t>
      </w:r>
    </w:p>
    <w:p>
      <w:pPr>
        <w:pStyle w:val="Compact"/>
        <w:numPr>
          <w:ilvl w:val="0"/>
          <w:numId w:val="1003"/>
        </w:numPr>
      </w:pPr>
      <w:r>
        <w:t xml:space="preserve">Recruited via local university community</w:t>
      </w:r>
    </w:p>
    <w:bookmarkEnd w:id="11"/>
    <w:bookmarkStart w:id="12" w:name="stimuli"/>
    <w:p>
      <w:pPr>
        <w:pStyle w:val="Heading2"/>
      </w:pPr>
      <w:r>
        <w:t xml:space="preserve">Stimuli</w:t>
      </w:r>
    </w:p>
    <w:p>
      <w:pPr>
        <w:pStyle w:val="Compact"/>
        <w:numPr>
          <w:ilvl w:val="0"/>
          <w:numId w:val="1004"/>
        </w:numPr>
      </w:pPr>
      <w:r>
        <w:t xml:space="preserve">60 audio samples:</w:t>
      </w:r>
    </w:p>
    <w:p>
      <w:pPr>
        <w:pStyle w:val="Compact"/>
        <w:numPr>
          <w:ilvl w:val="1"/>
          <w:numId w:val="1005"/>
        </w:numPr>
      </w:pPr>
      <w:r>
        <w:t xml:space="preserve">20 speech samples</w:t>
      </w:r>
    </w:p>
    <w:p>
      <w:pPr>
        <w:pStyle w:val="Compact"/>
        <w:numPr>
          <w:ilvl w:val="1"/>
          <w:numId w:val="1005"/>
        </w:numPr>
      </w:pPr>
      <w:r>
        <w:t xml:space="preserve">20 singing samples</w:t>
      </w:r>
    </w:p>
    <w:p>
      <w:pPr>
        <w:pStyle w:val="Compact"/>
        <w:numPr>
          <w:ilvl w:val="1"/>
          <w:numId w:val="1005"/>
        </w:numPr>
      </w:pPr>
      <w:r>
        <w:t xml:space="preserve">20 nonverbal vocalizations</w:t>
      </w:r>
    </w:p>
    <w:p>
      <w:pPr>
        <w:pStyle w:val="Compact"/>
        <w:numPr>
          <w:ilvl w:val="0"/>
          <w:numId w:val="1004"/>
        </w:numPr>
      </w:pPr>
      <w:r>
        <w:t xml:space="preserve">Duration normalized (e.g., 3–5 seconds per sample)</w:t>
      </w:r>
    </w:p>
    <w:p>
      <w:pPr>
        <w:pStyle w:val="Compact"/>
        <w:numPr>
          <w:ilvl w:val="0"/>
          <w:numId w:val="1004"/>
        </w:numPr>
      </w:pPr>
      <w:r>
        <w:t xml:space="preserve">Overall energy normalized</w:t>
      </w:r>
    </w:p>
    <w:p>
      <w:pPr>
        <w:pStyle w:val="Compact"/>
        <w:numPr>
          <w:ilvl w:val="0"/>
          <w:numId w:val="1004"/>
        </w:numPr>
      </w:pPr>
      <w:r>
        <w:t xml:space="preserve">Linear-frequency spectrograms</w:t>
      </w:r>
      <w:r>
        <w:t xml:space="preserve"> </w:t>
      </w:r>
      <w:r>
        <w:rPr>
          <w:i/>
          <w:iCs/>
        </w:rPr>
        <w:t xml:space="preserve">(following what Emmalie used)</w:t>
      </w:r>
      <w:r>
        <w:t xml:space="preserve"> </w:t>
      </w:r>
      <w:r>
        <w:t xml:space="preserve">generated from each sample</w:t>
      </w:r>
    </w:p>
    <w:p>
      <w:pPr>
        <w:pStyle w:val="Compact"/>
        <w:numPr>
          <w:ilvl w:val="0"/>
          <w:numId w:val="1004"/>
        </w:numPr>
      </w:pPr>
      <w:r>
        <w:t xml:space="preserve">Static spectrograms</w:t>
      </w:r>
    </w:p>
    <w:bookmarkEnd w:id="12"/>
    <w:bookmarkStart w:id="13" w:name="apparatus"/>
    <w:p>
      <w:pPr>
        <w:pStyle w:val="Heading2"/>
      </w:pPr>
      <w:r>
        <w:t xml:space="preserve">Apparatus</w:t>
      </w:r>
    </w:p>
    <w:p>
      <w:pPr>
        <w:pStyle w:val="Compact"/>
        <w:numPr>
          <w:ilvl w:val="0"/>
          <w:numId w:val="1006"/>
        </w:numPr>
      </w:pPr>
      <w:r>
        <w:t xml:space="preserve">Tobii eye-tracker + Tobii Pro Lab (behavioral research software)</w:t>
      </w:r>
    </w:p>
    <w:p>
      <w:pPr>
        <w:pStyle w:val="Compact"/>
        <w:numPr>
          <w:ilvl w:val="0"/>
          <w:numId w:val="1006"/>
        </w:numPr>
      </w:pPr>
      <w:r>
        <w:t xml:space="preserve">Standardized display size and viewing distance</w:t>
      </w:r>
    </w:p>
    <w:bookmarkEnd w:id="13"/>
    <w:bookmarkStart w:id="14" w:name="experimental-design"/>
    <w:p>
      <w:pPr>
        <w:pStyle w:val="Heading2"/>
      </w:pPr>
      <w:r>
        <w:t xml:space="preserve">Experimental Design</w:t>
      </w:r>
    </w:p>
    <w:p>
      <w:pPr>
        <w:pStyle w:val="Compact"/>
        <w:numPr>
          <w:ilvl w:val="0"/>
          <w:numId w:val="1007"/>
        </w:numPr>
      </w:pPr>
      <w:r>
        <w:t xml:space="preserve">Task</w:t>
      </w:r>
    </w:p>
    <w:p>
      <w:pPr>
        <w:pStyle w:val="Compact"/>
        <w:numPr>
          <w:ilvl w:val="1"/>
          <w:numId w:val="1008"/>
        </w:numPr>
      </w:pPr>
      <w:r>
        <w:t xml:space="preserve">3-alternative forced-choice (3AFC): Identify the category of each spectrogram: speech, singing, nonverbal vocalization.</w:t>
      </w:r>
    </w:p>
    <w:p>
      <w:pPr>
        <w:pStyle w:val="Compact"/>
        <w:numPr>
          <w:ilvl w:val="1"/>
          <w:numId w:val="1008"/>
        </w:numPr>
      </w:pPr>
      <w:r>
        <w:t xml:space="preserve">Confidence rating: 5-point Likert scale per trial.</w:t>
      </w:r>
    </w:p>
    <w:p>
      <w:pPr>
        <w:pStyle w:val="Compact"/>
        <w:numPr>
          <w:ilvl w:val="0"/>
          <w:numId w:val="1007"/>
        </w:numPr>
      </w:pPr>
      <w:r>
        <w:t xml:space="preserve">Eye-Tracking Measures</w:t>
      </w:r>
    </w:p>
    <w:p>
      <w:pPr>
        <w:pStyle w:val="Compact"/>
        <w:numPr>
          <w:ilvl w:val="1"/>
          <w:numId w:val="1009"/>
        </w:numPr>
      </w:pPr>
      <w:r>
        <w:t xml:space="preserve">Fixation count</w:t>
      </w:r>
    </w:p>
    <w:p>
      <w:pPr>
        <w:pStyle w:val="Compact"/>
        <w:numPr>
          <w:ilvl w:val="1"/>
          <w:numId w:val="1009"/>
        </w:numPr>
      </w:pPr>
      <w:r>
        <w:t xml:space="preserve">Fixation locations and durations</w:t>
      </w:r>
    </w:p>
    <w:p>
      <w:pPr>
        <w:pStyle w:val="Compact"/>
        <w:numPr>
          <w:ilvl w:val="1"/>
          <w:numId w:val="1009"/>
        </w:numPr>
      </w:pPr>
      <w:r>
        <w:t xml:space="preserve">Time to first fixation in predefined regions</w:t>
      </w:r>
    </w:p>
    <w:p>
      <w:pPr>
        <w:pStyle w:val="Compact"/>
        <w:numPr>
          <w:ilvl w:val="1"/>
          <w:numId w:val="1009"/>
        </w:numPr>
      </w:pPr>
      <w:r>
        <w:t xml:space="preserve">Saccade patterns</w:t>
      </w:r>
    </w:p>
    <w:p>
      <w:pPr>
        <w:pStyle w:val="Compact"/>
        <w:numPr>
          <w:ilvl w:val="1"/>
          <w:numId w:val="1009"/>
        </w:numPr>
      </w:pPr>
      <w:r>
        <w:t xml:space="preserve">Heatmaps per vocal category</w:t>
      </w:r>
    </w:p>
    <w:p>
      <w:pPr>
        <w:pStyle w:val="Compact"/>
        <w:numPr>
          <w:ilvl w:val="1"/>
          <w:numId w:val="1009"/>
        </w:numPr>
      </w:pPr>
      <w:r>
        <w:t xml:space="preserve">Sequence of fixations (scanpaths)</w:t>
      </w:r>
    </w:p>
    <w:p>
      <w:pPr>
        <w:pStyle w:val="Compact"/>
        <w:numPr>
          <w:ilvl w:val="0"/>
          <w:numId w:val="1007"/>
        </w:numPr>
      </w:pPr>
      <w:r>
        <w:t xml:space="preserve">Optional Feature Reporting</w:t>
      </w:r>
    </w:p>
    <w:p>
      <w:pPr>
        <w:pStyle w:val="Compact"/>
        <w:numPr>
          <w:ilvl w:val="1"/>
          <w:numId w:val="1010"/>
        </w:numPr>
      </w:pPr>
      <w:r>
        <w:t xml:space="preserve">After each trial, participants indicate which visual features influenced their choice:</w:t>
      </w:r>
    </w:p>
    <w:p>
      <w:pPr>
        <w:pStyle w:val="Compact"/>
        <w:numPr>
          <w:ilvl w:val="2"/>
          <w:numId w:val="1011"/>
        </w:numPr>
      </w:pPr>
      <w:r>
        <w:t xml:space="preserve">Horizontal bands</w:t>
      </w:r>
    </w:p>
    <w:p>
      <w:pPr>
        <w:pStyle w:val="Compact"/>
        <w:numPr>
          <w:ilvl w:val="2"/>
          <w:numId w:val="1011"/>
        </w:numPr>
      </w:pPr>
      <w:r>
        <w:t xml:space="preserve">Vertical patterns</w:t>
      </w:r>
    </w:p>
    <w:p>
      <w:pPr>
        <w:pStyle w:val="Compact"/>
        <w:numPr>
          <w:ilvl w:val="2"/>
          <w:numId w:val="1011"/>
        </w:numPr>
      </w:pPr>
      <w:r>
        <w:t xml:space="preserve">Irregular/noisy areas</w:t>
      </w:r>
    </w:p>
    <w:p>
      <w:pPr>
        <w:pStyle w:val="Compact"/>
        <w:numPr>
          <w:ilvl w:val="2"/>
          <w:numId w:val="1011"/>
        </w:numPr>
      </w:pPr>
      <w:r>
        <w:t xml:space="preserve">Overall brightness</w:t>
      </w:r>
    </w:p>
    <w:p>
      <w:pPr>
        <w:pStyle w:val="Compact"/>
        <w:numPr>
          <w:ilvl w:val="2"/>
          <w:numId w:val="1011"/>
        </w:numPr>
      </w:pPr>
      <w:r>
        <w:t xml:space="preserve">Shape/contour</w:t>
      </w:r>
    </w:p>
    <w:p>
      <w:pPr>
        <w:pStyle w:val="Compact"/>
        <w:numPr>
          <w:ilvl w:val="2"/>
          <w:numId w:val="1011"/>
        </w:numPr>
      </w:pPr>
      <w:r>
        <w:t xml:space="preserve">Unsure</w:t>
      </w:r>
    </w:p>
    <w:bookmarkEnd w:id="14"/>
    <w:bookmarkStart w:id="15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12"/>
        </w:numPr>
      </w:pPr>
      <w:r>
        <w:t xml:space="preserve">Welcome and informed consent</w:t>
      </w:r>
    </w:p>
    <w:p>
      <w:pPr>
        <w:pStyle w:val="Compact"/>
        <w:numPr>
          <w:ilvl w:val="0"/>
          <w:numId w:val="1012"/>
        </w:numPr>
      </w:pPr>
      <w:r>
        <w:t xml:space="preserve">Brief instructions on task (no specific training on spectrogram interpretation)</w:t>
      </w:r>
    </w:p>
    <w:p>
      <w:pPr>
        <w:pStyle w:val="Compact"/>
        <w:numPr>
          <w:ilvl w:val="0"/>
          <w:numId w:val="1012"/>
        </w:numPr>
      </w:pPr>
      <w:r>
        <w:t xml:space="preserve">3 practice trials to familiarize participants with interface</w:t>
      </w:r>
    </w:p>
    <w:p>
      <w:pPr>
        <w:pStyle w:val="Compact"/>
        <w:numPr>
          <w:ilvl w:val="0"/>
          <w:numId w:val="1012"/>
        </w:numPr>
      </w:pPr>
      <w:r>
        <w:t xml:space="preserve">Main experiment: 60 trials, randomized order</w:t>
      </w:r>
    </w:p>
    <w:p>
      <w:pPr>
        <w:pStyle w:val="Compact"/>
        <w:numPr>
          <w:ilvl w:val="0"/>
          <w:numId w:val="1012"/>
        </w:numPr>
      </w:pPr>
      <w:r>
        <w:t xml:space="preserve">Optional post-task questionnaire regarding strategy and perceived difficulty</w:t>
      </w:r>
    </w:p>
    <w:p>
      <w:pPr>
        <w:pStyle w:val="Compact"/>
        <w:numPr>
          <w:ilvl w:val="0"/>
          <w:numId w:val="1012"/>
        </w:numPr>
      </w:pPr>
      <w:r>
        <w:t xml:space="preserve">Debrief</w:t>
      </w:r>
      <w:r>
        <w:br/>
      </w:r>
      <w:r>
        <w:rPr>
          <w:i/>
          <w:iCs/>
        </w:rPr>
        <w:t xml:space="preserve">Estimated total duration: 20–30 minutes per participant</w:t>
      </w:r>
    </w:p>
    <w:bookmarkEnd w:id="15"/>
    <w:bookmarkStart w:id="16" w:name="data-collection"/>
    <w:p>
      <w:pPr>
        <w:pStyle w:val="Heading2"/>
      </w:pPr>
      <w:r>
        <w:t xml:space="preserve">Data Collection</w:t>
      </w:r>
    </w:p>
    <w:p>
      <w:pPr>
        <w:pStyle w:val="Compact"/>
        <w:numPr>
          <w:ilvl w:val="0"/>
          <w:numId w:val="1013"/>
        </w:numPr>
      </w:pPr>
      <w:r>
        <w:t xml:space="preserve">Behavioral: accuracy, reaction time, confidence ratings</w:t>
      </w:r>
    </w:p>
    <w:p>
      <w:pPr>
        <w:pStyle w:val="Compact"/>
        <w:numPr>
          <w:ilvl w:val="0"/>
          <w:numId w:val="1013"/>
        </w:numPr>
      </w:pPr>
      <w:r>
        <w:t xml:space="preserve">Eye-tracking: fixation count, fixation duration, scanpaths, heatmaps</w:t>
      </w:r>
    </w:p>
    <w:p>
      <w:pPr>
        <w:pStyle w:val="Compact"/>
        <w:numPr>
          <w:ilvl w:val="0"/>
          <w:numId w:val="1013"/>
        </w:numPr>
      </w:pPr>
      <w:r>
        <w:t xml:space="preserve">Optional qualitative features reported</w:t>
      </w:r>
    </w:p>
    <w:bookmarkEnd w:id="16"/>
    <w:bookmarkStart w:id="17" w:name="hypotheses"/>
    <w:p>
      <w:pPr>
        <w:pStyle w:val="Heading2"/>
      </w:pPr>
      <w:r>
        <w:t xml:space="preserve">Hypotheses</w:t>
      </w:r>
    </w:p>
    <w:p>
      <w:pPr>
        <w:pStyle w:val="Compact"/>
        <w:numPr>
          <w:ilvl w:val="0"/>
          <w:numId w:val="1014"/>
        </w:numPr>
      </w:pPr>
      <w:r>
        <w:t xml:space="preserve">Participants will perform above chance (33%) in distinguishing categories.</w:t>
      </w:r>
    </w:p>
    <w:p>
      <w:pPr>
        <w:pStyle w:val="Compact"/>
        <w:numPr>
          <w:ilvl w:val="0"/>
          <w:numId w:val="1014"/>
        </w:numPr>
      </w:pPr>
      <w:r>
        <w:t xml:space="preserve">Singing may be easiest to identify due to visually salient harmonic stacks.</w:t>
      </w:r>
    </w:p>
    <w:p>
      <w:pPr>
        <w:pStyle w:val="Compact"/>
        <w:numPr>
          <w:ilvl w:val="0"/>
          <w:numId w:val="1014"/>
        </w:numPr>
      </w:pPr>
      <w:r>
        <w:t xml:space="preserve">Speech and nonverbal vocalizations may be more confusable.</w:t>
      </w:r>
    </w:p>
    <w:p>
      <w:pPr>
        <w:pStyle w:val="Compact"/>
        <w:numPr>
          <w:ilvl w:val="0"/>
          <w:numId w:val="1014"/>
        </w:numPr>
      </w:pPr>
      <w:r>
        <w:t xml:space="preserve">Participants will rely on different visual features depending on vocal type.</w:t>
      </w:r>
    </w:p>
    <w:bookmarkEnd w:id="17"/>
    <w:bookmarkStart w:id="18" w:name="expected-outcomes"/>
    <w:p>
      <w:pPr>
        <w:pStyle w:val="Heading2"/>
      </w:pPr>
      <w:r>
        <w:t xml:space="preserve">Expected Outcomes</w:t>
      </w:r>
    </w:p>
    <w:p>
      <w:pPr>
        <w:pStyle w:val="Compact"/>
        <w:numPr>
          <w:ilvl w:val="0"/>
          <w:numId w:val="1015"/>
        </w:numPr>
      </w:pPr>
      <w:r>
        <w:t xml:space="preserve">Provides baseline data on whether spectrograms convey category-level vocal information to naïve observers.</w:t>
      </w:r>
    </w:p>
    <w:p>
      <w:pPr>
        <w:pStyle w:val="Compact"/>
        <w:numPr>
          <w:ilvl w:val="0"/>
          <w:numId w:val="1015"/>
        </w:numPr>
      </w:pPr>
      <w:r>
        <w:t xml:space="preserve">Reveals which visual cues participants rely on, informing future visualization design.</w:t>
      </w:r>
    </w:p>
    <w:p>
      <w:pPr>
        <w:pStyle w:val="Compact"/>
        <w:numPr>
          <w:ilvl w:val="0"/>
          <w:numId w:val="1015"/>
        </w:numPr>
      </w:pPr>
      <w:r>
        <w:t xml:space="preserve">Can serve as a foundation for more advanced studies exploring crossmodal perception and affective interpretation.</w:t>
      </w:r>
    </w:p>
    <w:bookmarkEnd w:id="18"/>
    <w:bookmarkStart w:id="19" w:name="notes-for-extension"/>
    <w:p>
      <w:pPr>
        <w:pStyle w:val="Heading2"/>
      </w:pPr>
      <w:r>
        <w:t xml:space="preserve">Notes for Extension</w:t>
      </w:r>
    </w:p>
    <w:p>
      <w:pPr>
        <w:pStyle w:val="Compact"/>
        <w:numPr>
          <w:ilvl w:val="0"/>
          <w:numId w:val="1016"/>
        </w:numPr>
      </w:pPr>
      <w:r>
        <w:t xml:space="preserve">Representational variations (e.g., linear vs log-frequency, Modulation Power Spectrum)</w:t>
      </w:r>
    </w:p>
    <w:p>
      <w:pPr>
        <w:pStyle w:val="Compact"/>
        <w:numPr>
          <w:ilvl w:val="0"/>
          <w:numId w:val="1016"/>
        </w:numPr>
      </w:pPr>
      <w:r>
        <w:t xml:space="preserve">Category priors (telling participants the vocal type beforehand)</w:t>
      </w:r>
    </w:p>
    <w:p>
      <w:pPr>
        <w:pStyle w:val="Compact"/>
        <w:numPr>
          <w:ilvl w:val="0"/>
          <w:numId w:val="1016"/>
        </w:numPr>
      </w:pPr>
      <w:r>
        <w:t xml:space="preserve">Eye-tracking or neural correlates (fMRI or EEG) for deeper cognitive insight</w:t>
      </w:r>
    </w:p>
    <w:p>
      <w:pPr>
        <w:pStyle w:val="Compact"/>
        <w:numPr>
          <w:ilvl w:val="0"/>
          <w:numId w:val="1016"/>
        </w:numPr>
      </w:pPr>
      <w:r>
        <w:t xml:space="preserve">Feature manipulation (masking certain areas) for causal testing</w:t>
      </w:r>
    </w:p>
    <w:p>
      <w:pPr>
        <w:pStyle w:val="Compact"/>
        <w:numPr>
          <w:ilvl w:val="0"/>
          <w:numId w:val="1016"/>
        </w:numPr>
      </w:pPr>
      <w:r>
        <w:t xml:space="preserve">Narrow down Different experimental design for normally hearing people/become deaf people/born-deaf people? For hearing people, we can play an audio recording and ask them to match the correct spectrogram, or vice versa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protocol</dc:title>
  <dc:creator/>
  <cp:keywords/>
  <dcterms:created xsi:type="dcterms:W3CDTF">2026-02-23T16:36:46Z</dcterms:created>
  <dcterms:modified xsi:type="dcterms:W3CDTF">2026-02-23T16:36:46Z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