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8"/>
          <w:szCs w:val="48"/>
        </w:rPr>
        <w:t xml:space="preserve">CAHIER DES CHARGES</w:t>
      </w:r>
    </w:p>
    <w:p>
      <w:pPr>
        <w:spacing w:after="100" w:before="200"/>
        <w:jc w:val="center"/>
      </w:pPr>
      <w:r>
        <w:rPr>
          <w:b/>
          <w:bCs/>
          <w:color w:val="2E74B5"/>
          <w:sz w:val="36"/>
          <w:szCs w:val="36"/>
        </w:rPr>
        <w:t xml:space="preserve">Nunya — MVP</w:t>
      </w:r>
    </w:p>
    <w:p>
      <w:pPr>
        <w:jc w:val="center"/>
      </w:pPr>
      <w:r>
        <w:rPr>
          <w:i/>
          <w:iCs/>
          <w:color w:val="595959"/>
          <w:sz w:val="24"/>
          <w:szCs w:val="24"/>
        </w:rPr>
        <w:t xml:space="preserve">Premier périmètre fonctionnel livrable : chat, sources, résumé, quiz</w:t>
      </w:r>
    </w:p>
    <w:p>
      <w:pPr>
        <w:spacing w:before="300"/>
        <w:jc w:val="center"/>
      </w:pPr>
      <w:r>
        <w:rPr>
          <w:sz w:val="22"/>
          <w:szCs w:val="22"/>
        </w:rPr>
        <w:t xml:space="preserve">Document complémentaire au Cahier des charges v2 et à l'Étude technique et de faisabilité</w:t>
      </w:r>
    </w:p>
    <w:p>
      <w:pPr>
        <w:spacing w:before="1600"/>
        <w:jc w:val="center"/>
      </w:pPr>
      <w:r>
        <w:rPr>
          <w:color w:val="595959"/>
          <w:sz w:val="20"/>
          <w:szCs w:val="20"/>
        </w:rPr>
        <w:t xml:space="preserve">Version 1.0</w:t>
      </w:r>
    </w:p>
    <w:p>
      <w:r>
        <w:br w:type="page"/>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Objet et logique du MVP</w:t>
      </w:r>
    </w:p>
    <w:p>
      <w:pPr>
        <w:spacing w:after="150"/>
      </w:pPr>
      <w:r>
        <w:rPr>
          <w:sz w:val="22"/>
          <w:szCs w:val="22"/>
        </w:rPr>
        <w:t xml:space="preserve">Ce document définit le premier périmètre réellement livrable de Nunya (MVP — Minimum Viable Product), distinct du périmètre complet décrit dans le Cahier des charges v2. L'objectif du MVP n'est pas de démontrer l'ensemble de la vision, mais de valider le mécanisme le plus risqué du projet : une boucle d'agent qui s'appuie sur les documents de l'apprenant pour produire des réponses et des supports utiles, avec une discipline claire entre ce qui s'affiche et ce qui se conserve.</w:t>
      </w:r>
    </w:p>
    <w:p>
      <w:pPr>
        <w:spacing w:after="150"/>
      </w:pPr>
      <w:r>
        <w:rPr>
          <w:sz w:val="22"/>
          <w:szCs w:val="22"/>
        </w:rPr>
        <w:t xml:space="preserve">Deux fonctionnalités portent l'essentiel du risque technique et seront donc validées en priorité : la recherche documentaire (RAG) sur des sources réelles, et la séparation entre un résultat affiché à l'écran et un artefact réellement persisté. Tout le reste — langues locales, graphiques, canaux tiers — est volontairement repoussé après cette validation, non par manque d'ambition mais pour ne pas construire la suite sur une fondation non testée.</w:t>
      </w:r>
    </w:p>
    <w:p>
      <w:pPr>
        <w:pStyle w:val="Heading1"/>
        <w:spacing w:after="200" w:before="400"/>
      </w:pPr>
      <w:r>
        <w:t xml:space="preserve">2. Périmètre fonctionnel du MVP</w:t>
      </w:r>
    </w:p>
    <w:p>
      <w:pPr>
        <w:pStyle w:val="Heading2"/>
        <w:spacing w:after="150" w:before="300"/>
      </w:pPr>
      <w:r>
        <w:t xml:space="preserve">2.1 Inclus</w:t>
      </w:r>
    </w:p>
    <w:p>
      <w:pPr>
        <w:pStyle w:val="ListParagraph"/>
        <w:numPr>
          <w:ilvl w:val="0"/>
          <w:numId w:val="2"/>
        </w:numPr>
        <w:spacing w:after="80"/>
      </w:pPr>
      <w:r>
        <w:rPr>
          <w:sz w:val="22"/>
          <w:szCs w:val="22"/>
        </w:rPr>
        <w:t xml:space="preserve">Interface de chat fonctionnelle (vraies réponses de l'agent, pas de simulation).</w:t>
      </w:r>
      <w:r>
        <w:rPr>
          <w:b/>
          <w:bCs/>
          <w:color w:val="2E7D32"/>
          <w:sz w:val="18"/>
          <w:szCs w:val="18"/>
        </w:rPr>
        <w:t xml:space="preserve">  [INCLUS]</w:t>
      </w:r>
    </w:p>
    <w:p>
      <w:pPr>
        <w:pStyle w:val="ListParagraph"/>
        <w:numPr>
          <w:ilvl w:val="0"/>
          <w:numId w:val="2"/>
        </w:numPr>
        <w:spacing w:after="80"/>
      </w:pPr>
      <w:r>
        <w:rPr>
          <w:sz w:val="22"/>
          <w:szCs w:val="22"/>
        </w:rPr>
        <w:t xml:space="preserve">Upload de sources au format PDF et Word (DOCX), indexation réelle dans le pipeline RAG.</w:t>
      </w:r>
      <w:r>
        <w:rPr>
          <w:b/>
          <w:bCs/>
          <w:color w:val="2E7D32"/>
          <w:sz w:val="18"/>
          <w:szCs w:val="18"/>
        </w:rPr>
        <w:t xml:space="preserve">  [INCLUS]</w:t>
      </w:r>
    </w:p>
    <w:p>
      <w:pPr>
        <w:pStyle w:val="ListParagraph"/>
        <w:numPr>
          <w:ilvl w:val="0"/>
          <w:numId w:val="2"/>
        </w:numPr>
        <w:spacing w:after="80"/>
      </w:pPr>
      <w:r>
        <w:rPr>
          <w:sz w:val="22"/>
          <w:szCs w:val="22"/>
        </w:rPr>
        <w:t xml:space="preserve">Outil Résumé : génère un résumé des sources sélectionnées, affiché dans l'Atelier.</w:t>
      </w:r>
      <w:r>
        <w:rPr>
          <w:b/>
          <w:bCs/>
          <w:color w:val="2E7D32"/>
          <w:sz w:val="18"/>
          <w:szCs w:val="18"/>
        </w:rPr>
        <w:t xml:space="preserve">  [INCLUS]</w:t>
      </w:r>
    </w:p>
    <w:p>
      <w:pPr>
        <w:pStyle w:val="ListParagraph"/>
        <w:numPr>
          <w:ilvl w:val="0"/>
          <w:numId w:val="2"/>
        </w:numPr>
        <w:spacing w:after="80"/>
      </w:pPr>
      <w:r>
        <w:rPr>
          <w:sz w:val="22"/>
          <w:szCs w:val="22"/>
        </w:rPr>
        <w:t xml:space="preserve">Outil Quiz (QCM) : génère un quiz à partir des sources sélectionnées, jouable dans l'Atelier.</w:t>
      </w:r>
      <w:r>
        <w:rPr>
          <w:b/>
          <w:bCs/>
          <w:color w:val="2E7D32"/>
          <w:sz w:val="18"/>
          <w:szCs w:val="18"/>
        </w:rPr>
        <w:t xml:space="preserve">  [INCLUS]</w:t>
      </w:r>
    </w:p>
    <w:p>
      <w:pPr>
        <w:pStyle w:val="ListParagraph"/>
        <w:numPr>
          <w:ilvl w:val="0"/>
          <w:numId w:val="2"/>
        </w:numPr>
        <w:spacing w:after="80"/>
      </w:pPr>
      <w:r>
        <w:rPr>
          <w:sz w:val="22"/>
          <w:szCs w:val="22"/>
        </w:rPr>
        <w:t xml:space="preserve">Persistance à la demande : un résumé ou un quiz affiché n'est enregistré comme artefact que si l'apprenant déclenche explicitement l'action (« Ajouter au Carnet »).</w:t>
      </w:r>
      <w:r>
        <w:rPr>
          <w:b/>
          <w:bCs/>
          <w:color w:val="2E7D32"/>
          <w:sz w:val="18"/>
          <w:szCs w:val="18"/>
        </w:rPr>
        <w:t xml:space="preserve">  [INCLUS]</w:t>
      </w:r>
    </w:p>
    <w:p>
      <w:pPr>
        <w:pStyle w:val="ListParagraph"/>
        <w:numPr>
          <w:ilvl w:val="0"/>
          <w:numId w:val="2"/>
        </w:numPr>
        <w:spacing w:after="80"/>
      </w:pPr>
      <w:r>
        <w:rPr>
          <w:sz w:val="22"/>
          <w:szCs w:val="22"/>
        </w:rPr>
        <w:t xml:space="preserve">Carnet minimal : liste des artefacts explicitement sauvegardés (titre, type, date).</w:t>
      </w:r>
      <w:r>
        <w:rPr>
          <w:b/>
          <w:bCs/>
          <w:color w:val="2E7D32"/>
          <w:sz w:val="18"/>
          <w:szCs w:val="18"/>
        </w:rPr>
        <w:t xml:space="preserve">  [INCLUS]</w:t>
      </w:r>
    </w:p>
    <w:p>
      <w:pPr>
        <w:pStyle w:val="Heading2"/>
        <w:spacing w:after="150" w:before="300"/>
      </w:pPr>
      <w:r>
        <w:t xml:space="preserve">2.2 Explicitement exclu de cette itération</w:t>
      </w:r>
    </w:p>
    <w:p>
      <w:pPr>
        <w:pStyle w:val="ListParagraph"/>
        <w:numPr>
          <w:ilvl w:val="0"/>
          <w:numId w:val="2"/>
        </w:numPr>
        <w:spacing w:after="80"/>
      </w:pPr>
      <w:r>
        <w:rPr>
          <w:sz w:val="22"/>
          <w:szCs w:val="22"/>
        </w:rPr>
        <w:t xml:space="preserve">Traduction et sorties en langues locales (Éwé, Kabiyè) — repoussé juste après le MVP, voir §5.</w:t>
      </w:r>
      <w:r>
        <w:rPr>
          <w:b/>
          <w:bCs/>
          <w:color w:val="C0392B"/>
          <w:sz w:val="18"/>
          <w:szCs w:val="18"/>
        </w:rPr>
        <w:t xml:space="preserve">  [EXCLU]</w:t>
      </w:r>
    </w:p>
    <w:p>
      <w:pPr>
        <w:pStyle w:val="ListParagraph"/>
        <w:numPr>
          <w:ilvl w:val="0"/>
          <w:numId w:val="2"/>
        </w:numPr>
        <w:spacing w:after="80"/>
      </w:pPr>
      <w:r>
        <w:rPr>
          <w:sz w:val="22"/>
          <w:szCs w:val="22"/>
        </w:rPr>
        <w:t xml:space="preserve">Génération de graphiques (outil « Graphique »).</w:t>
      </w:r>
      <w:r>
        <w:rPr>
          <w:b/>
          <w:bCs/>
          <w:color w:val="C0392B"/>
          <w:sz w:val="18"/>
          <w:szCs w:val="18"/>
        </w:rPr>
        <w:t xml:space="preserve">  [EXCLU]</w:t>
      </w:r>
    </w:p>
    <w:p>
      <w:pPr>
        <w:pStyle w:val="ListParagraph"/>
        <w:numPr>
          <w:ilvl w:val="0"/>
          <w:numId w:val="2"/>
        </w:numPr>
        <w:spacing w:after="80"/>
      </w:pPr>
      <w:r>
        <w:rPr>
          <w:sz w:val="22"/>
          <w:szCs w:val="22"/>
        </w:rPr>
        <w:t xml:space="preserve">Recherche web complémentaire.</w:t>
      </w:r>
      <w:r>
        <w:rPr>
          <w:b/>
          <w:bCs/>
          <w:color w:val="C0392B"/>
          <w:sz w:val="18"/>
          <w:szCs w:val="18"/>
        </w:rPr>
        <w:t xml:space="preserve">  [EXCLU]</w:t>
      </w:r>
    </w:p>
    <w:p>
      <w:pPr>
        <w:pStyle w:val="ListParagraph"/>
        <w:numPr>
          <w:ilvl w:val="0"/>
          <w:numId w:val="2"/>
        </w:numPr>
        <w:spacing w:after="80"/>
      </w:pPr>
      <w:r>
        <w:rPr>
          <w:sz w:val="22"/>
          <w:szCs w:val="22"/>
        </w:rPr>
        <w:t xml:space="preserve">Suivi de progression par notion et historique des scores de quiz dans le Carnet.</w:t>
      </w:r>
      <w:r>
        <w:rPr>
          <w:b/>
          <w:bCs/>
          <w:color w:val="C0392B"/>
          <w:sz w:val="18"/>
          <w:szCs w:val="18"/>
        </w:rPr>
        <w:t xml:space="preserve">  [EXCLU]</w:t>
      </w:r>
    </w:p>
    <w:p>
      <w:pPr>
        <w:pStyle w:val="ListParagraph"/>
        <w:numPr>
          <w:ilvl w:val="0"/>
          <w:numId w:val="2"/>
        </w:numPr>
        <w:spacing w:after="80"/>
      </w:pPr>
      <w:r>
        <w:rPr>
          <w:sz w:val="22"/>
          <w:szCs w:val="22"/>
        </w:rPr>
        <w:t xml:space="preserve">Canal WhatsApp, synthèse vocale, tuteur socratique, tableau de bord enseignant.</w:t>
      </w:r>
      <w:r>
        <w:rPr>
          <w:b/>
          <w:bCs/>
          <w:color w:val="C0392B"/>
          <w:sz w:val="18"/>
          <w:szCs w:val="18"/>
        </w:rPr>
        <w:t xml:space="preserve">  [EXCLU]</w:t>
      </w:r>
    </w:p>
    <w:p>
      <w:pPr>
        <w:spacing w:after="150"/>
      </w:pPr>
      <w:r>
        <w:rPr>
          <w:sz w:val="22"/>
          <w:szCs w:val="22"/>
        </w:rPr>
        <w:t xml:space="preserve">Ce choix de périmètre est assumé : il laisse de côté, pour cette itération, le différenciateur central du projet (les langues locales). C'est un risque de communication à anticiper si le MVP est montré seul — voir la recommandation en §5.</w:t>
      </w:r>
    </w:p>
    <w:p>
      <w:pPr>
        <w:pStyle w:val="Heading1"/>
        <w:spacing w:after="200" w:before="400"/>
      </w:pPr>
      <w:r>
        <w:t xml:space="preserve">3. Parcours utilisateur cible</w:t>
      </w:r>
    </w:p>
    <w:p>
      <w:pPr>
        <w:pStyle w:val="ListParagraph"/>
        <w:numPr>
          <w:ilvl w:val="0"/>
          <w:numId w:val="2"/>
        </w:numPr>
        <w:spacing w:after="80"/>
      </w:pPr>
      <w:r>
        <w:rPr>
          <w:sz w:val="22"/>
          <w:szCs w:val="22"/>
        </w:rPr>
        <w:t xml:space="preserve">1. L'apprenant arrive sur l'écran d'accueil et ouvre une session.</w:t>
      </w:r>
    </w:p>
    <w:p>
      <w:pPr>
        <w:pStyle w:val="ListParagraph"/>
        <w:numPr>
          <w:ilvl w:val="0"/>
          <w:numId w:val="2"/>
        </w:numPr>
        <w:spacing w:after="80"/>
      </w:pPr>
      <w:r>
        <w:rPr>
          <w:sz w:val="22"/>
          <w:szCs w:val="22"/>
        </w:rPr>
        <w:t xml:space="preserve">2. Il dépose un ou plusieurs documents (PDF, DOCX) ; l'indexation se fait en arrière-plan.</w:t>
      </w:r>
    </w:p>
    <w:p>
      <w:pPr>
        <w:pStyle w:val="ListParagraph"/>
        <w:numPr>
          <w:ilvl w:val="0"/>
          <w:numId w:val="2"/>
        </w:numPr>
        <w:spacing w:after="80"/>
      </w:pPr>
      <w:r>
        <w:rPr>
          <w:sz w:val="22"/>
          <w:szCs w:val="22"/>
        </w:rPr>
        <w:t xml:space="preserve">3. Il pose une question dans le chat ; l'agent répond en s'appuyant sur les passages pertinents des documents.</w:t>
      </w:r>
    </w:p>
    <w:p>
      <w:pPr>
        <w:pStyle w:val="ListParagraph"/>
        <w:numPr>
          <w:ilvl w:val="0"/>
          <w:numId w:val="2"/>
        </w:numPr>
        <w:spacing w:after="80"/>
      </w:pPr>
      <w:r>
        <w:rPr>
          <w:sz w:val="22"/>
          <w:szCs w:val="22"/>
        </w:rPr>
        <w:t xml:space="preserve">4. Il ouvre l'Atelier et déclenche l'outil Résumé ou l'outil Quiz ; le résultat s'affiche sans être enregistré.</w:t>
      </w:r>
    </w:p>
    <w:p>
      <w:pPr>
        <w:pStyle w:val="ListParagraph"/>
        <w:numPr>
          <w:ilvl w:val="0"/>
          <w:numId w:val="2"/>
        </w:numPr>
        <w:spacing w:after="80"/>
      </w:pPr>
      <w:r>
        <w:rPr>
          <w:sz w:val="22"/>
          <w:szCs w:val="22"/>
        </w:rPr>
        <w:t xml:space="preserve">5. S'il le juge utile, il clique sur « Ajouter au Carnet » : l'artefact est alors persisté et visible dans le Carnet.</w:t>
      </w:r>
    </w:p>
    <w:p>
      <w:pPr>
        <w:pStyle w:val="Heading1"/>
        <w:spacing w:after="200" w:before="400"/>
      </w:pPr>
      <w:r>
        <w:t xml:space="preserve">4. Exigences non fonctionnelles du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F3864" w:color="auto" w:val="clear"/>
            <w:tcMar>
              <w:top w:type="dxa" w:w="80"/>
              <w:left w:type="dxa" w:w="100"/>
              <w:bottom w:type="dxa" w:w="80"/>
              <w:right w:type="dxa" w:w="100"/>
            </w:tcMar>
          </w:tcPr>
          <w:p>
            <w:r>
              <w:rPr>
                <w:b/>
                <w:bCs/>
                <w:color w:val="FFFFFF"/>
                <w:sz w:val="20"/>
                <w:szCs w:val="20"/>
              </w:rPr>
              <w:t xml:space="preserve">Catégorie</w:t>
            </w:r>
          </w:p>
        </w:tc>
        <w:tc>
          <w:tcPr>
            <w:tcW w:type="dxa" w:w="6026"/>
            <w:shd w:fill="1F3864" w:color="auto" w:val="clear"/>
            <w:tcMar>
              <w:top w:type="dxa" w:w="80"/>
              <w:left w:type="dxa" w:w="100"/>
              <w:bottom w:type="dxa" w:w="80"/>
              <w:right w:type="dxa" w:w="100"/>
            </w:tcMar>
          </w:tcPr>
          <w:p>
            <w:r>
              <w:rPr>
                <w:b/>
                <w:bCs/>
                <w:color w:val="FFFFFF"/>
                <w:sz w:val="20"/>
                <w:szCs w:val="20"/>
              </w:rPr>
              <w:t xml:space="preserve">Exigence pour le MVP</w:t>
            </w:r>
          </w:p>
        </w:tc>
      </w:tr>
      <w:tr>
        <w:tc>
          <w:tcPr>
            <w:tcW w:type="dxa" w:w="3000"/>
            <w:tcMar>
              <w:top w:type="dxa" w:w="80"/>
              <w:left w:type="dxa" w:w="100"/>
              <w:bottom w:type="dxa" w:w="80"/>
              <w:right w:type="dxa" w:w="100"/>
            </w:tcMar>
          </w:tcPr>
          <w:p>
            <w:r>
              <w:rPr>
                <w:sz w:val="20"/>
                <w:szCs w:val="20"/>
              </w:rPr>
              <w:t xml:space="preserve">Performance</w:t>
            </w:r>
          </w:p>
        </w:tc>
        <w:tc>
          <w:tcPr>
            <w:tcW w:type="dxa" w:w="6026"/>
            <w:tcMar>
              <w:top w:type="dxa" w:w="80"/>
              <w:left w:type="dxa" w:w="100"/>
              <w:bottom w:type="dxa" w:w="80"/>
              <w:right w:type="dxa" w:w="100"/>
            </w:tcMar>
          </w:tcPr>
          <w:p>
            <w:r>
              <w:rPr>
                <w:sz w:val="20"/>
                <w:szCs w:val="20"/>
              </w:rPr>
              <w:t xml:space="preserve">Temps de réponse acceptable en usage conversationnel ; pas d'objectif chiffré formel à ce stade</w:t>
            </w:r>
          </w:p>
        </w:tc>
      </w:tr>
      <w:tr>
        <w:tc>
          <w:tcPr>
            <w:tcW w:type="dxa" w:w="3000"/>
            <w:shd w:fill="EAF1FA" w:color="auto" w:val="clear"/>
            <w:tcMar>
              <w:top w:type="dxa" w:w="80"/>
              <w:left w:type="dxa" w:w="100"/>
              <w:bottom w:type="dxa" w:w="80"/>
              <w:right w:type="dxa" w:w="100"/>
            </w:tcMar>
          </w:tcPr>
          <w:p>
            <w:r>
              <w:rPr>
                <w:sz w:val="20"/>
                <w:szCs w:val="20"/>
              </w:rPr>
              <w:t xml:space="preserve">Disponibilité</w:t>
            </w:r>
          </w:p>
        </w:tc>
        <w:tc>
          <w:tcPr>
            <w:tcW w:type="dxa" w:w="6026"/>
            <w:shd w:fill="EAF1FA" w:color="auto" w:val="clear"/>
            <w:tcMar>
              <w:top w:type="dxa" w:w="80"/>
              <w:left w:type="dxa" w:w="100"/>
              <w:bottom w:type="dxa" w:w="80"/>
              <w:right w:type="dxa" w:w="100"/>
            </w:tcMar>
          </w:tcPr>
          <w:p>
            <w:r>
              <w:rPr>
                <w:sz w:val="20"/>
                <w:szCs w:val="20"/>
              </w:rPr>
              <w:t xml:space="preserve">Fonctionne en conditions de développement/démonstration ; le mode dégradé complet (coupure réseau) n'est pas requis pour le MVP</w:t>
            </w:r>
          </w:p>
        </w:tc>
      </w:tr>
      <w:tr>
        <w:tc>
          <w:tcPr>
            <w:tcW w:type="dxa" w:w="3000"/>
            <w:tcMar>
              <w:top w:type="dxa" w:w="80"/>
              <w:left w:type="dxa" w:w="100"/>
              <w:bottom w:type="dxa" w:w="80"/>
              <w:right w:type="dxa" w:w="100"/>
            </w:tcMar>
          </w:tcPr>
          <w:p>
            <w:r>
              <w:rPr>
                <w:sz w:val="20"/>
                <w:szCs w:val="20"/>
              </w:rPr>
              <w:t xml:space="preserve">Sécurité</w:t>
            </w:r>
          </w:p>
        </w:tc>
        <w:tc>
          <w:tcPr>
            <w:tcW w:type="dxa" w:w="6026"/>
            <w:tcMar>
              <w:top w:type="dxa" w:w="80"/>
              <w:left w:type="dxa" w:w="100"/>
              <w:bottom w:type="dxa" w:w="80"/>
              <w:right w:type="dxa" w:w="100"/>
            </w:tcMar>
          </w:tcPr>
          <w:p>
            <w:r>
              <w:rPr>
                <w:sz w:val="20"/>
                <w:szCs w:val="20"/>
              </w:rPr>
              <w:t xml:space="preserve">Authentification simple par clé API, suffisante pour un usage interne à l'équipe</w:t>
            </w:r>
          </w:p>
        </w:tc>
      </w:tr>
      <w:tr>
        <w:tc>
          <w:tcPr>
            <w:tcW w:type="dxa" w:w="3000"/>
            <w:shd w:fill="EAF1FA" w:color="auto" w:val="clear"/>
            <w:tcMar>
              <w:top w:type="dxa" w:w="80"/>
              <w:left w:type="dxa" w:w="100"/>
              <w:bottom w:type="dxa" w:w="80"/>
              <w:right w:type="dxa" w:w="100"/>
            </w:tcMar>
          </w:tcPr>
          <w:p>
            <w:r>
              <w:rPr>
                <w:sz w:val="20"/>
                <w:szCs w:val="20"/>
              </w:rPr>
              <w:t xml:space="preserve">Qualité des sorties</w:t>
            </w:r>
          </w:p>
        </w:tc>
        <w:tc>
          <w:tcPr>
            <w:tcW w:type="dxa" w:w="6026"/>
            <w:shd w:fill="EAF1FA" w:color="auto" w:val="clear"/>
            <w:tcMar>
              <w:top w:type="dxa" w:w="80"/>
              <w:left w:type="dxa" w:w="100"/>
              <w:bottom w:type="dxa" w:w="80"/>
              <w:right w:type="dxa" w:w="100"/>
            </w:tcMar>
          </w:tcPr>
          <w:p>
            <w:r>
              <w:rPr>
                <w:sz w:val="20"/>
                <w:szCs w:val="20"/>
              </w:rPr>
              <w:t xml:space="preserve">Résumés et quiz testés manuellement sur un petit corpus avant toute démonstration</w:t>
            </w:r>
          </w:p>
        </w:tc>
      </w:tr>
      <w:tr>
        <w:tc>
          <w:tcPr>
            <w:tcW w:type="dxa" w:w="3000"/>
            <w:tcMar>
              <w:top w:type="dxa" w:w="80"/>
              <w:left w:type="dxa" w:w="100"/>
              <w:bottom w:type="dxa" w:w="80"/>
              <w:right w:type="dxa" w:w="100"/>
            </w:tcMar>
          </w:tcPr>
          <w:p>
            <w:r>
              <w:rPr>
                <w:sz w:val="20"/>
                <w:szCs w:val="20"/>
              </w:rPr>
              <w:t xml:space="preserve">Confidentialité</w:t>
            </w:r>
          </w:p>
        </w:tc>
        <w:tc>
          <w:tcPr>
            <w:tcW w:type="dxa" w:w="6026"/>
            <w:tcMar>
              <w:top w:type="dxa" w:w="80"/>
              <w:left w:type="dxa" w:w="100"/>
              <w:bottom w:type="dxa" w:w="80"/>
              <w:right w:type="dxa" w:w="100"/>
            </w:tcMar>
          </w:tcPr>
          <w:p>
            <w:r>
              <w:rPr>
                <w:sz w:val="20"/>
                <w:szCs w:val="20"/>
              </w:rPr>
              <w:t xml:space="preserve">Les documents déposés restent propres à la session, comme déjà prévu dans l'architecture existante</w:t>
            </w:r>
          </w:p>
        </w:tc>
      </w:tr>
    </w:tbl>
    <w:p>
      <w:pPr>
        <w:pStyle w:val="Heading1"/>
        <w:spacing w:after="200" w:before="400"/>
      </w:pPr>
      <w:r>
        <w:t xml:space="preserve">5. Après le MVP — prochaine itération recommandée</w:t>
      </w:r>
    </w:p>
    <w:p>
      <w:pPr>
        <w:spacing w:after="150"/>
      </w:pPr>
      <w:r>
        <w:rPr>
          <w:sz w:val="22"/>
          <w:szCs w:val="22"/>
        </w:rPr>
        <w:t xml:space="preserve">Une fois le MVP validé (boucle agent + RAG + persistance à la demande), la priorité suivante recommandée est la réintégration de la traduction en langues locales (déjà entièrement écrite dans les services du projet), car c'est elle qui porte la singularité de Nunya face à un outil RAG générique. À défaut de l'inclure dans le MVP lui-même, il est recommandé de garder une démonstration de cette capacité disponible séparément (voir la maquette et l'étude de style déjà produites) pour ne pas laisser croire que le projet se résume à un chatbot documentaire.</w:t>
      </w:r>
    </w:p>
    <w:p>
      <w:pPr>
        <w:pStyle w:val="Heading1"/>
        <w:spacing w:after="200" w:before="400"/>
      </w:pPr>
      <w:r>
        <w:t xml:space="preserve">6. Critères de succès du MVP</w:t>
      </w:r>
    </w:p>
    <w:p>
      <w:pPr>
        <w:pStyle w:val="ListParagraph"/>
        <w:numPr>
          <w:ilvl w:val="0"/>
          <w:numId w:val="2"/>
        </w:numPr>
        <w:spacing w:after="80"/>
      </w:pPr>
      <w:r>
        <w:rPr>
          <w:sz w:val="22"/>
          <w:szCs w:val="22"/>
        </w:rPr>
        <w:t xml:space="preserve">Un document réel (PDF ou DOCX) peut être déposé et interrogé avec des réponses correctement ancrées dans son contenu.</w:t>
      </w:r>
    </w:p>
    <w:p>
      <w:pPr>
        <w:pStyle w:val="ListParagraph"/>
        <w:numPr>
          <w:ilvl w:val="0"/>
          <w:numId w:val="2"/>
        </w:numPr>
        <w:spacing w:after="80"/>
      </w:pPr>
      <w:r>
        <w:rPr>
          <w:sz w:val="22"/>
          <w:szCs w:val="22"/>
        </w:rPr>
        <w:t xml:space="preserve">Un résumé et un quiz sont générés sans erreur sur au moins trois documents de test différents.</w:t>
      </w:r>
    </w:p>
    <w:p>
      <w:pPr>
        <w:pStyle w:val="ListParagraph"/>
        <w:numPr>
          <w:ilvl w:val="0"/>
          <w:numId w:val="2"/>
        </w:numPr>
        <w:spacing w:after="80"/>
      </w:pPr>
      <w:r>
        <w:rPr>
          <w:sz w:val="22"/>
          <w:szCs w:val="22"/>
        </w:rPr>
        <w:t xml:space="preserve">Un artefact n'est jamais enregistré sans action explicite de l'apprenant — vérifié par test manuel.</w:t>
      </w:r>
    </w:p>
    <w:p>
      <w:pPr>
        <w:pStyle w:val="ListParagraph"/>
        <w:numPr>
          <w:ilvl w:val="0"/>
          <w:numId w:val="2"/>
        </w:numPr>
        <w:spacing w:after="80"/>
      </w:pPr>
      <w:r>
        <w:rPr>
          <w:sz w:val="22"/>
          <w:szCs w:val="22"/>
        </w:rPr>
        <w:t xml:space="preserve">Le Carnet affiche fidèlement les artefacts réellement sauvegardés, dans l'ordre chronologique.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Nunya — Cahier des charges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2026-10-07T09:36:28.924Z</dcterms:created>
  <dcterms:modified xsi:type="dcterms:W3CDTF">2026-10-07T09:36:28.932Z</dcterms:modified>
</cp:coreProperties>
</file>

<file path=docProps/custom.xml><?xml version="1.0" encoding="utf-8"?>
<Properties xmlns="http://schemas.openxmlformats.org/officeDocument/2006/custom-properties" xmlns:vt="http://schemas.openxmlformats.org/officeDocument/2006/docPropsVTypes"/>
</file>