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87A60"/>
          <w:sz w:val="22"/>
        </w:rPr>
        <w:t>PINCH</w:t>
      </w:r>
    </w:p>
    <w:p>
      <w:pPr>
        <w:pStyle w:val="Title"/>
        <w:jc w:val="center"/>
      </w:pPr>
      <w:r>
        <w:t>UI Polish Report</w:t>
      </w:r>
    </w:p>
    <w:p>
      <w:pPr>
        <w:spacing w:after="240"/>
        <w:jc w:val="center"/>
      </w:pPr>
      <w:r>
        <w:rPr>
          <w:color w:val="60736A"/>
          <w:sz w:val="24"/>
        </w:rPr>
        <w:t>Responsive desktop + mobile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AF7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pPr>
              <w:spacing w:after="40"/>
            </w:pPr>
            <w:r>
              <w:rPr>
                <w:b/>
                <w:color w:val="087A60"/>
              </w:rPr>
              <w:t>Design direction</w:t>
            </w:r>
          </w:p>
          <w:p>
            <w:pPr>
              <w:spacing w:after="0"/>
            </w:pPr>
            <w:r>
              <w:t>Keep the existing Pinch identity and structure. The app already has a coherent health/SaaS visual language. The goal is a focused polish pass: improve responsive density, hierarchy, consistency, and use a tiny amount of restrained background color so the interface feels warmer without becoming colorful.</w:t>
            </w:r>
          </w:p>
        </w:tc>
      </w:tr>
    </w:tbl>
    <w:p/>
    <w:p>
      <w:pPr>
        <w:pStyle w:val="Heading1"/>
      </w:pPr>
      <w:r>
        <w:t>1. Principles to keep</w:t>
      </w:r>
    </w:p>
    <w:p>
      <w:pPr>
        <w:pStyle w:val="ListBullet"/>
        <w:spacing w:after="60"/>
      </w:pPr>
      <w:r>
        <w:t>Keep emerald green as the primary brand color and the off-white/mint foundation.</w:t>
      </w:r>
    </w:p>
    <w:p>
      <w:pPr>
        <w:pStyle w:val="ListBullet"/>
        <w:spacing w:after="60"/>
      </w:pPr>
      <w:r>
        <w:t>Keep macro colors: protein orange/red, carbs gold, fat blue. They communicate data and should remain functional colors.</w:t>
      </w:r>
    </w:p>
    <w:p>
      <w:pPr>
        <w:pStyle w:val="ListBullet"/>
        <w:spacing w:after="60"/>
      </w:pPr>
      <w:r>
        <w:t>Keep the rounded, friendly health-app character, but standardize radii rather than using many slightly different ones.</w:t>
      </w:r>
    </w:p>
    <w:p>
      <w:pPr>
        <w:pStyle w:val="ListBullet"/>
        <w:spacing w:after="60"/>
      </w:pPr>
      <w:r>
        <w:t>Keep meal cards, ingredient tables, meal totals, and the desktop Allowed-range row. These are already strong.</w:t>
      </w:r>
    </w:p>
    <w:p>
      <w:pPr>
        <w:pStyle w:val="ListBullet"/>
        <w:spacing w:after="60"/>
      </w:pPr>
      <w:r>
        <w:t>Do not add glassmorphism, strong gradients, saturated backgrounds, or decorative color everywhere.</w:t>
      </w:r>
    </w:p>
    <w:p>
      <w:pPr>
        <w:pStyle w:val="Heading1"/>
      </w:pPr>
      <w:r>
        <w:t>2. Tiny background-color enhancement</w:t>
      </w:r>
    </w:p>
    <w:p>
      <w:pPr>
        <w:spacing w:after="100"/>
      </w:pPr>
      <w:r>
        <w:t>Add color very lightly, mainly to large empty background areas. The content cards should remain white so readability stays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6F1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89"/>
            <w:shd w:fill="EAF6F1"/>
          </w:tcPr>
          <w:p>
            <w:r>
              <w:rPr>
                <w:b/>
              </w:rPr>
              <w:t>Suggested treatment</w:t>
            </w:r>
          </w:p>
        </w:tc>
        <w:tc>
          <w:tcPr>
            <w:tcW w:type="dxa" w:w="3389"/>
            <w:shd w:fill="EAF6F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Main page background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Very pale mint base (#F6FBF8) with an extremely subtle mint tint/soft radial wash near the top.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Adds depth while still reading as neutral.</w:t>
            </w:r>
          </w:p>
        </w:tc>
      </w:tr>
      <w:tr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Dashboard background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Optional second barely-visible warm cream wash in one corner (about #FFF9F2 at low opacity).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Prevents the large desktop canvas from feeling empty.</w:t>
            </w:r>
          </w:p>
        </w:tc>
      </w:tr>
      <w:tr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Plan builder hero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Keep the current pale mint atmosphere; slightly concentrate it behind the title/stats only.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Creates a gentle focal area.</w:t>
            </w:r>
          </w:p>
        </w:tc>
      </w:tr>
      <w:tr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Cards / tables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White or near-white. Do not tint normal content cards.</w:t>
            </w:r>
          </w:p>
        </w:tc>
        <w:tc>
          <w:tcPr>
            <w:tcW w:type="dxa" w:w="3389"/>
            <w:tcBorders>
              <w:top w:val="single" w:sz="6" w:color="D9E6E0"/>
              <w:left w:val="single" w:sz="6" w:color="D9E6E0"/>
              <w:bottom w:val="single" w:sz="6" w:color="D9E6E0"/>
              <w:right w:val="single" w:sz="6" w:color="D9E6E0"/>
            </w:tcBorders>
          </w:tcPr>
          <w:p>
            <w:r>
              <w:t>Preserves contrast and avoids visual noise.</w:t>
            </w:r>
          </w:p>
        </w:tc>
      </w:tr>
    </w:tbl>
    <w:p>
      <w:r>
        <w:rPr>
          <w:b/>
          <w:color w:val="087A60"/>
        </w:rPr>
        <w:t xml:space="preserve">Color rule: </w:t>
      </w:r>
      <w:r>
        <w:t>background color should be noticed subconsciously, not consciously. If the user immediately says “the background is green/orange,” it is too strong.</w:t>
      </w:r>
    </w:p>
    <w:p>
      <w:pPr>
        <w:pStyle w:val="Heading1"/>
      </w:pPr>
      <w:r>
        <w:t>3. Shared design-system cleanup</w:t>
      </w:r>
    </w:p>
    <w:p>
      <w:pPr>
        <w:pStyle w:val="ListBullet"/>
        <w:spacing w:after="60"/>
      </w:pPr>
      <w:r>
        <w:t>Create a small spacing scale and reuse it everywhere (for example 8 / 12 / 16 / 24 / 32 px) instead of one-off gaps.</w:t>
      </w:r>
    </w:p>
    <w:p>
      <w:pPr>
        <w:pStyle w:val="ListBullet"/>
        <w:spacing w:after="60"/>
      </w:pPr>
      <w:r>
        <w:t>Use two corner-radius tiers: a normal component radius for inputs/pills/inner cards and a larger radius for major section cards.</w:t>
      </w:r>
    </w:p>
    <w:p>
      <w:pPr>
        <w:pStyle w:val="ListBullet"/>
        <w:spacing w:after="60"/>
      </w:pPr>
      <w:r>
        <w:t>Inputs: thin soft border, minimal shadow. Major cards: subtle shadow. Inner table rows/pills: border only. Sticky/floating controls may use the strongest shadow.</w:t>
      </w:r>
    </w:p>
    <w:p>
      <w:pPr>
        <w:pStyle w:val="ListBullet"/>
        <w:spacing w:after="60"/>
      </w:pPr>
      <w:r>
        <w:t>Standardize typography into clear levels: page title, section title, field label, body text, helper/secondary text, numeric emphasis.</w:t>
      </w:r>
    </w:p>
    <w:p>
      <w:pPr>
        <w:pStyle w:val="ListBullet"/>
        <w:spacing w:after="60"/>
      </w:pPr>
      <w:r>
        <w:t>Keep secondary text consistently muted green-gray rather than mixing several similar gray/green tones.</w:t>
      </w:r>
    </w:p>
    <w:p>
      <w:pPr>
        <w:pStyle w:val="ListBullet"/>
        <w:spacing w:after="60"/>
      </w:pPr>
      <w:r>
        <w:t>Use the same icon container dimensions, stroke weight, and pastel treatment across Dashboard, Plan Builder, meals, and actions.</w:t>
      </w:r>
    </w:p>
    <w:p>
      <w:pPr>
        <w:pStyle w:val="ListBullet"/>
        <w:spacing w:after="60"/>
      </w:pPr>
      <w:r>
        <w:t>Keep touch targets at least comfortable on mobile even when visual components are made denser.</w:t>
      </w:r>
    </w:p>
    <w:p>
      <w:pPr>
        <w:pStyle w:val="Heading1"/>
      </w:pPr>
      <w:r>
        <w:t>4. Mobile recommendations</w:t>
      </w:r>
    </w:p>
    <w:p>
      <w:pPr>
        <w:pStyle w:val="Heading2"/>
      </w:pPr>
      <w:r>
        <w:t>Overall density</w:t>
      </w:r>
    </w:p>
    <w:p>
      <w:pPr>
        <w:pStyle w:val="ListBullet"/>
        <w:spacing w:after="60"/>
      </w:pPr>
      <w:r>
        <w:t>Reduce vertical spacing by roughly 10–15% across form-heavy screens, not across the entire app indiscriminately.</w:t>
      </w:r>
    </w:p>
    <w:p>
      <w:pPr>
        <w:pStyle w:val="ListBullet"/>
        <w:spacing w:after="60"/>
      </w:pPr>
      <w:r>
        <w:t>Shorten form inputs slightly while preserving comfortable touch targets.</w:t>
      </w:r>
    </w:p>
    <w:p>
      <w:pPr>
        <w:pStyle w:val="ListBullet"/>
        <w:spacing w:after="60"/>
      </w:pPr>
      <w:r>
        <w:t>Reduce major-card internal padding slightly. The current mobile cards often use nearly a full screen for relatively little information.</w:t>
      </w:r>
    </w:p>
    <w:p>
      <w:pPr>
        <w:pStyle w:val="ListBullet"/>
        <w:spacing w:after="60"/>
      </w:pPr>
      <w:r>
        <w:t>Reduce gaps between consecutive cards/sections, especially on the plan builder and between generated meals.</w:t>
      </w:r>
    </w:p>
    <w:p>
      <w:pPr>
        <w:pStyle w:val="Heading2"/>
      </w:pPr>
      <w:r>
        <w:t>Navigation / header</w:t>
      </w:r>
    </w:p>
    <w:p>
      <w:pPr>
        <w:pStyle w:val="ListBullet"/>
        <w:spacing w:after="60"/>
      </w:pPr>
      <w:r>
        <w:t>Keep the current Pinch branding, Home and Log out structure.</w:t>
      </w:r>
    </w:p>
    <w:p>
      <w:pPr>
        <w:pStyle w:val="ListBullet"/>
        <w:spacing w:after="60"/>
      </w:pPr>
      <w:r>
        <w:t>On narrow screens, slightly tighten horizontal spacing so the header never feels crowded.</w:t>
      </w:r>
    </w:p>
    <w:p>
      <w:pPr>
        <w:pStyle w:val="ListBullet"/>
        <w:spacing w:after="60"/>
      </w:pPr>
      <w:r>
        <w:t>Maintain consistent top safe-area spacing and ensure the header height is stable across Dashboard and Plan Builder.</w:t>
      </w:r>
    </w:p>
    <w:p>
      <w:pPr>
        <w:pStyle w:val="Heading2"/>
      </w:pPr>
      <w:r>
        <w:t>Dashboard – mobile</w:t>
      </w:r>
    </w:p>
    <w:p>
      <w:pPr>
        <w:pStyle w:val="ListBullet"/>
        <w:spacing w:after="60"/>
      </w:pPr>
      <w:r>
        <w:t>Replace the three tall stacked statistic cards with much more compact stats. Preferred option: three small cards in one row when width permits; otherwise a compact 2+1 grid.</w:t>
      </w:r>
    </w:p>
    <w:p>
      <w:pPr>
        <w:pStyle w:val="ListBullet"/>
        <w:spacing w:after="60"/>
      </w:pPr>
      <w:r>
        <w:t>Each stat should prioritize the number, then a short label. Decorative circles should remain very faint and small.</w:t>
      </w:r>
    </w:p>
    <w:p>
      <w:pPr>
        <w:pStyle w:val="ListBullet"/>
        <w:spacing w:after="60"/>
      </w:pPr>
      <w:r>
        <w:t>Compress empty states such as Customers. Use icon + “No customers yet” + optional action instead of a tall empty container.</w:t>
      </w:r>
    </w:p>
    <w:p>
      <w:pPr>
        <w:pStyle w:val="ListBullet"/>
        <w:spacing w:after="60"/>
      </w:pPr>
      <w:r>
        <w:t>Keep General plans cards mostly as they are; they already scan well.</w:t>
      </w:r>
    </w:p>
    <w:p>
      <w:pPr>
        <w:pStyle w:val="ListBullet"/>
        <w:spacing w:after="60"/>
      </w:pPr>
      <w:r>
        <w:t>Make Quick actions compact. A single New plan action should not occupy a huge full-width/tall card.</w:t>
      </w:r>
    </w:p>
    <w:p>
      <w:pPr>
        <w:pStyle w:val="Heading2"/>
      </w:pPr>
      <w:r>
        <w:t>Plan builder – mobile</w:t>
      </w:r>
    </w:p>
    <w:p>
      <w:pPr>
        <w:pStyle w:val="ListBullet"/>
        <w:spacing w:after="60"/>
      </w:pPr>
      <w:r>
        <w:t>Keep the hero title, subtitle and 223 / 104 / 4 summary; it is one of the strongest areas.</w:t>
      </w:r>
    </w:p>
    <w:p>
      <w:pPr>
        <w:pStyle w:val="ListBullet"/>
        <w:spacing w:after="60"/>
      </w:pPr>
      <w:r>
        <w:t>Slightly reduce the prominence/size of the Plan builder badge.</w:t>
      </w:r>
    </w:p>
    <w:p>
      <w:pPr>
        <w:pStyle w:val="ListBullet"/>
        <w:spacing w:after="60"/>
      </w:pPr>
      <w:r>
        <w:t>Tighten Save details, Body data, Plan setup and Preferences: less card padding, smaller label-to-input gaps, and slightly shorter inputs.</w:t>
      </w:r>
    </w:p>
    <w:p>
      <w:pPr>
        <w:pStyle w:val="ListBullet"/>
        <w:spacing w:after="60"/>
      </w:pPr>
      <w:r>
        <w:t>Keep Goal as a segmented control; it is clearer than a dropdown.</w:t>
      </w:r>
    </w:p>
    <w:p>
      <w:pPr>
        <w:pStyle w:val="ListBullet"/>
        <w:spacing w:after="60"/>
      </w:pPr>
      <w:r>
        <w:t>Place related short fields side-by-side only when they remain comfortably readable; otherwise preserve one-column entry.</w:t>
      </w:r>
    </w:p>
    <w:p>
      <w:pPr>
        <w:pStyle w:val="Heading2"/>
      </w:pPr>
      <w:r>
        <w:t>Generated plan / meals – mobile</w:t>
      </w:r>
    </w:p>
    <w:p>
      <w:pPr>
        <w:pStyle w:val="ListBullet"/>
        <w:spacing w:after="60"/>
      </w:pPr>
      <w:r>
        <w:t>Keep the current meal-card information architecture.</w:t>
      </w:r>
    </w:p>
    <w:p>
      <w:pPr>
        <w:pStyle w:val="ListBullet"/>
        <w:spacing w:after="60"/>
      </w:pPr>
      <w:r>
        <w:t>Reflow the meal header specifically for mobile: meal identity and kcal should form the first row; candidate count + previous/next + Edit mode should form a compact second row.</w:t>
      </w:r>
    </w:p>
    <w:p>
      <w:pPr>
        <w:pStyle w:val="ListBullet"/>
        <w:spacing w:after="60"/>
      </w:pPr>
      <w:r>
        <w:t>Give previous/next controls small intentional circular or soft-background hit areas instead of leaving bare chevrons visually floating.</w:t>
      </w:r>
    </w:p>
    <w:p>
      <w:pPr>
        <w:pStyle w:val="ListBullet"/>
        <w:spacing w:after="60"/>
      </w:pPr>
      <w:r>
        <w:t>Keep Allowed ranges, but reduce pill padding/font size slightly and soften their borders so they remain secondary to the meal.</w:t>
      </w:r>
    </w:p>
    <w:p>
      <w:pPr>
        <w:pStyle w:val="ListBullet"/>
        <w:spacing w:after="60"/>
      </w:pPr>
      <w:r>
        <w:t>Ingredient name and portion should be visually primary; kcal/P/C/F should be slightly quieter.</w:t>
      </w:r>
    </w:p>
    <w:p>
      <w:pPr>
        <w:pStyle w:val="ListBullet"/>
        <w:spacing w:after="60"/>
      </w:pPr>
      <w:r>
        <w:t>Keep Meal totals exactly at the bottom of each card, with slightly stronger background separation if needed.</w:t>
      </w:r>
    </w:p>
    <w:p>
      <w:pPr>
        <w:pStyle w:val="ListBullet"/>
        <w:spacing w:after="60"/>
      </w:pPr>
      <w:r>
        <w:t>Reduce the vertical gap between meal cards.</w:t>
      </w:r>
    </w:p>
    <w:p>
      <w:pPr>
        <w:pStyle w:val="Heading1"/>
      </w:pPr>
      <w:r>
        <w:t>5. Desktop / laptop recommendations</w:t>
      </w:r>
    </w:p>
    <w:p>
      <w:pPr>
        <w:pStyle w:val="Heading2"/>
      </w:pPr>
      <w:r>
        <w:t>Dashboard – desktop</w:t>
      </w:r>
    </w:p>
    <w:p>
      <w:pPr>
        <w:pStyle w:val="ListBullet"/>
        <w:spacing w:after="60"/>
      </w:pPr>
      <w:r>
        <w:t>Introduce a centered dashboard content max-width (roughly 1200–1400 px depending on your target laptop widths) instead of stretching content almost edge-to-edge.</w:t>
      </w:r>
    </w:p>
    <w:p>
      <w:pPr>
        <w:pStyle w:val="ListBullet"/>
        <w:spacing w:after="60"/>
      </w:pPr>
      <w:r>
        <w:t>Keep the three statistic cards in one row, but reduce their height substantially. Their current horizontal footprint is fine; the vertical size is excessive.</w:t>
      </w:r>
    </w:p>
    <w:p>
      <w:pPr>
        <w:pStyle w:val="ListBullet"/>
        <w:spacing w:after="60"/>
      </w:pPr>
      <w:r>
        <w:t>Use the reclaimed space to make Customers and General plans feel like purposeful dashboard panels rather than huge containers.</w:t>
      </w:r>
    </w:p>
    <w:p>
      <w:pPr>
        <w:pStyle w:val="ListBullet"/>
        <w:spacing w:after="60"/>
      </w:pPr>
      <w:r>
        <w:t>Do not stretch Quick actions across the entire canvas when there is only one action. Use a compact action tile or a small row of action tiles.</w:t>
      </w:r>
    </w:p>
    <w:p>
      <w:pPr>
        <w:pStyle w:val="ListBullet"/>
        <w:spacing w:after="60"/>
      </w:pPr>
      <w:r>
        <w:t>Preserve the two-column Customers / General plans arrangement.</w:t>
      </w:r>
    </w:p>
    <w:p>
      <w:pPr>
        <w:pStyle w:val="Heading2"/>
      </w:pPr>
      <w:r>
        <w:t>Plan builder – desktop</w:t>
      </w:r>
    </w:p>
    <w:p>
      <w:pPr>
        <w:pStyle w:val="ListBullet"/>
        <w:spacing w:after="60"/>
      </w:pPr>
      <w:r>
        <w:t>Use desktop width to place naturally related fields side-by-side where appropriate instead of simply making every field very wide.</w:t>
      </w:r>
    </w:p>
    <w:p>
      <w:pPr>
        <w:pStyle w:val="ListBullet"/>
        <w:spacing w:after="60"/>
      </w:pPr>
      <w:r>
        <w:t>Keep generous desktop breathing room, but use a centered max-width so the form remains easy to scan.</w:t>
      </w:r>
    </w:p>
    <w:p>
      <w:pPr>
        <w:pStyle w:val="ListBullet"/>
        <w:spacing w:after="60"/>
      </w:pPr>
      <w:r>
        <w:t>Maintain the same section-card hierarchy as mobile; only layout and density should change.</w:t>
      </w:r>
    </w:p>
    <w:p>
      <w:pPr>
        <w:pStyle w:val="Heading2"/>
      </w:pPr>
      <w:r>
        <w:t>Generated plan / meals – desktop</w:t>
      </w:r>
    </w:p>
    <w:p>
      <w:pPr>
        <w:pStyle w:val="ListBullet"/>
        <w:spacing w:after="60"/>
      </w:pPr>
      <w:r>
        <w:t>Make minimal changes: this is currently the strongest desktop screen.</w:t>
      </w:r>
    </w:p>
    <w:p>
      <w:pPr>
        <w:pStyle w:val="ListBullet"/>
        <w:spacing w:after="60"/>
      </w:pPr>
      <w:r>
        <w:t>Keep the Daily totals ring + macro progress bars layout.</w:t>
      </w:r>
    </w:p>
    <w:p>
      <w:pPr>
        <w:pStyle w:val="ListBullet"/>
        <w:spacing w:after="60"/>
      </w:pPr>
      <w:r>
        <w:t>Keep the single-row Allowed badges on desktop.</w:t>
      </w:r>
    </w:p>
    <w:p>
      <w:pPr>
        <w:pStyle w:val="ListBullet"/>
        <w:spacing w:after="60"/>
      </w:pPr>
      <w:r>
        <w:t>Keep meal headers horizontal: meal identity, kcal, navigation and Edit mode already work well at laptop width.</w:t>
      </w:r>
    </w:p>
    <w:p>
      <w:pPr>
        <w:pStyle w:val="ListBullet"/>
        <w:spacing w:after="60"/>
      </w:pPr>
      <w:r>
        <w:t>Keep the ingredient table columns and colored macro values.</w:t>
      </w:r>
    </w:p>
    <w:p>
      <w:pPr>
        <w:pStyle w:val="ListBullet"/>
        <w:spacing w:after="60"/>
      </w:pPr>
      <w:r>
        <w:t>Slightly standardize border/shadow strength between Daily totals, meal cards and the sticky bottom action bar.</w:t>
      </w:r>
    </w:p>
    <w:p>
      <w:pPr>
        <w:pStyle w:val="ListBullet"/>
        <w:spacing w:after="60"/>
      </w:pPr>
      <w:r>
        <w:t>Ensure the sticky Save plan / Discard bar does not visually cover the final table rows; reserve bottom padding equal to its height.</w:t>
      </w:r>
    </w:p>
    <w:p>
      <w:pPr>
        <w:pStyle w:val="Heading1"/>
      </w:pPr>
      <w:r>
        <w:t>6. Component-level polish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6F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41"/>
            <w:shd w:fill="EAF6F1"/>
          </w:tcPr>
          <w:p>
            <w:r>
              <w:rPr>
                <w:b/>
              </w:rPr>
              <w:t>Keep</w:t>
            </w:r>
          </w:p>
        </w:tc>
        <w:tc>
          <w:tcPr>
            <w:tcW w:type="dxa" w:w="2541"/>
            <w:shd w:fill="EAF6F1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541"/>
            <w:shd w:fill="EAF6F1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41"/>
          </w:tcPr>
          <w:p>
            <w:r>
              <w:t>Primary green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No major change</w:t>
            </w:r>
          </w:p>
        </w:tc>
        <w:tc>
          <w:tcPr>
            <w:tcW w:type="dxa" w:w="2541"/>
          </w:tcPr>
          <w:p>
            <w:r>
              <w:t>Keep</w:t>
            </w:r>
          </w:p>
        </w:tc>
      </w:tr>
      <w:tr>
        <w:tc>
          <w:tcPr>
            <w:tcW w:type="dxa" w:w="2541"/>
          </w:tcPr>
          <w:p>
            <w:r>
              <w:t>Macro colors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Only standardize exact shades</w:t>
            </w:r>
          </w:p>
        </w:tc>
        <w:tc>
          <w:tcPr>
            <w:tcW w:type="dxa" w:w="2541"/>
          </w:tcPr>
          <w:p>
            <w:r>
              <w:t>Keep</w:t>
            </w:r>
          </w:p>
        </w:tc>
      </w:tr>
      <w:tr>
        <w:tc>
          <w:tcPr>
            <w:tcW w:type="dxa" w:w="2541"/>
          </w:tcPr>
          <w:p>
            <w:r>
              <w:t>Background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Add extremely subtle mint + optional warm wash</w:t>
            </w:r>
          </w:p>
        </w:tc>
        <w:tc>
          <w:tcPr>
            <w:tcW w:type="dxa" w:w="2541"/>
          </w:tcPr>
          <w:p>
            <w:r>
              <w:t>High</w:t>
            </w:r>
          </w:p>
        </w:tc>
      </w:tr>
      <w:tr>
        <w:tc>
          <w:tcPr>
            <w:tcW w:type="dxa" w:w="2541"/>
          </w:tcPr>
          <w:p>
            <w:r>
              <w:t>Main cards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Standardize padding/radius/shadow</w:t>
            </w:r>
          </w:p>
        </w:tc>
        <w:tc>
          <w:tcPr>
            <w:tcW w:type="dxa" w:w="2541"/>
          </w:tcPr>
          <w:p>
            <w:r>
              <w:t>High</w:t>
            </w:r>
          </w:p>
        </w:tc>
      </w:tr>
      <w:tr>
        <w:tc>
          <w:tcPr>
            <w:tcW w:type="dxa" w:w="2541"/>
          </w:tcPr>
          <w:p>
            <w:r>
              <w:t>Inputs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Less shadow; mobile slightly shorter</w:t>
            </w:r>
          </w:p>
        </w:tc>
        <w:tc>
          <w:tcPr>
            <w:tcW w:type="dxa" w:w="2541"/>
          </w:tcPr>
          <w:p>
            <w:r>
              <w:t>High</w:t>
            </w:r>
          </w:p>
        </w:tc>
      </w:tr>
      <w:tr>
        <w:tc>
          <w:tcPr>
            <w:tcW w:type="dxa" w:w="2541"/>
          </w:tcPr>
          <w:p>
            <w:r>
              <w:t>Dashboard stats</w:t>
            </w:r>
          </w:p>
        </w:tc>
        <w:tc>
          <w:tcPr>
            <w:tcW w:type="dxa" w:w="2541"/>
          </w:tcPr>
          <w:p>
            <w:r>
              <w:t>Concept</w:t>
            </w:r>
          </w:p>
        </w:tc>
        <w:tc>
          <w:tcPr>
            <w:tcW w:type="dxa" w:w="2541"/>
          </w:tcPr>
          <w:p>
            <w:r>
              <w:t>Much more compact, especially mobile</w:t>
            </w:r>
          </w:p>
        </w:tc>
        <w:tc>
          <w:tcPr>
            <w:tcW w:type="dxa" w:w="2541"/>
          </w:tcPr>
          <w:p>
            <w:r>
              <w:t>High</w:t>
            </w:r>
          </w:p>
        </w:tc>
      </w:tr>
      <w:tr>
        <w:tc>
          <w:tcPr>
            <w:tcW w:type="dxa" w:w="2541"/>
          </w:tcPr>
          <w:p>
            <w:r>
              <w:t>Quick actions</w:t>
            </w:r>
          </w:p>
        </w:tc>
        <w:tc>
          <w:tcPr>
            <w:tcW w:type="dxa" w:w="2541"/>
          </w:tcPr>
          <w:p>
            <w:r>
              <w:t>Concept</w:t>
            </w:r>
          </w:p>
        </w:tc>
        <w:tc>
          <w:tcPr>
            <w:tcW w:type="dxa" w:w="2541"/>
          </w:tcPr>
          <w:p>
            <w:r>
              <w:t>Smaller tiles; avoid giant empty card</w:t>
            </w:r>
          </w:p>
        </w:tc>
        <w:tc>
          <w:tcPr>
            <w:tcW w:type="dxa" w:w="2541"/>
          </w:tcPr>
          <w:p>
            <w:r>
              <w:t>High</w:t>
            </w:r>
          </w:p>
        </w:tc>
      </w:tr>
      <w:tr>
        <w:tc>
          <w:tcPr>
            <w:tcW w:type="dxa" w:w="2541"/>
          </w:tcPr>
          <w:p>
            <w:r>
              <w:t>Allowed pills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Mobile quieter/denser; desktop unchanged</w:t>
            </w:r>
          </w:p>
        </w:tc>
        <w:tc>
          <w:tcPr>
            <w:tcW w:type="dxa" w:w="2541"/>
          </w:tcPr>
          <w:p>
            <w:r>
              <w:t>Medium</w:t>
            </w:r>
          </w:p>
        </w:tc>
      </w:tr>
      <w:tr>
        <w:tc>
          <w:tcPr>
            <w:tcW w:type="dxa" w:w="2541"/>
          </w:tcPr>
          <w:p>
            <w:r>
              <w:t>Meal navigation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Improve mobile hit areas/reflow</w:t>
            </w:r>
          </w:p>
        </w:tc>
        <w:tc>
          <w:tcPr>
            <w:tcW w:type="dxa" w:w="2541"/>
          </w:tcPr>
          <w:p>
            <w:r>
              <w:t>Medium</w:t>
            </w:r>
          </w:p>
        </w:tc>
      </w:tr>
      <w:tr>
        <w:tc>
          <w:tcPr>
            <w:tcW w:type="dxa" w:w="2541"/>
          </w:tcPr>
          <w:p>
            <w:r>
              <w:t>Ingredient tables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Only hierarchy/spacing polish</w:t>
            </w:r>
          </w:p>
        </w:tc>
        <w:tc>
          <w:tcPr>
            <w:tcW w:type="dxa" w:w="2541"/>
          </w:tcPr>
          <w:p>
            <w:r>
              <w:t>Low</w:t>
            </w:r>
          </w:p>
        </w:tc>
      </w:tr>
    </w:tbl>
    <w:p>
      <w:pPr>
        <w:pStyle w:val="Heading1"/>
      </w:pPr>
      <w:r>
        <w:t>7. Recommended implementation order</w:t>
      </w:r>
    </w:p>
    <w:p>
      <w:pPr>
        <w:spacing w:after="80"/>
      </w:pPr>
      <w:r>
        <w:rPr>
          <w:b/>
          <w:color w:val="087A60"/>
        </w:rPr>
        <w:t xml:space="preserve">1. Design tokens: </w:t>
      </w:r>
      <w:r>
        <w:t>Standardize colors, spacing, radii, borders, shadows and typography first.</w:t>
      </w:r>
    </w:p>
    <w:p>
      <w:pPr>
        <w:spacing w:after="80"/>
      </w:pPr>
      <w:r>
        <w:rPr>
          <w:b/>
          <w:color w:val="087A60"/>
        </w:rPr>
        <w:t xml:space="preserve">2. Responsive containers: </w:t>
      </w:r>
      <w:r>
        <w:t>Add/adjust desktop max-widths and mobile padding/gaps.</w:t>
      </w:r>
    </w:p>
    <w:p>
      <w:pPr>
        <w:spacing w:after="80"/>
      </w:pPr>
      <w:r>
        <w:rPr>
          <w:b/>
          <w:color w:val="087A60"/>
        </w:rPr>
        <w:t xml:space="preserve">3. Dashboard: </w:t>
      </w:r>
      <w:r>
        <w:t>Compact stats, empty states and Quick actions.</w:t>
      </w:r>
    </w:p>
    <w:p>
      <w:pPr>
        <w:spacing w:after="80"/>
      </w:pPr>
      <w:r>
        <w:rPr>
          <w:b/>
          <w:color w:val="087A60"/>
        </w:rPr>
        <w:t xml:space="preserve">4. Plan builder: </w:t>
      </w:r>
      <w:r>
        <w:t>Improve mobile form density and desktop field grouping.</w:t>
      </w:r>
    </w:p>
    <w:p>
      <w:pPr>
        <w:spacing w:after="80"/>
      </w:pPr>
      <w:r>
        <w:rPr>
          <w:b/>
          <w:color w:val="087A60"/>
        </w:rPr>
        <w:t xml:space="preserve">5. Generated plan: </w:t>
      </w:r>
      <w:r>
        <w:t>Only polish mobile header wrapping/Allowed pills and consistency.</w:t>
      </w:r>
    </w:p>
    <w:p>
      <w:pPr>
        <w:spacing w:after="80"/>
      </w:pPr>
      <w:r>
        <w:rPr>
          <w:b/>
          <w:color w:val="087A60"/>
        </w:rPr>
        <w:t xml:space="preserve">6. Final QA: </w:t>
      </w:r>
      <w:r>
        <w:t>Compare iPhone and laptop side-by-side; check that no desktop improvement harms mobile or vice versa.</w:t>
      </w:r>
    </w:p>
    <w:p>
      <w:pPr>
        <w:pStyle w:val="Heading1"/>
      </w:pPr>
      <w:r>
        <w:t>8. What not to change</w:t>
      </w:r>
    </w:p>
    <w:p>
      <w:pPr>
        <w:pStyle w:val="ListBullet"/>
        <w:spacing w:after="60"/>
      </w:pPr>
      <w:r>
        <w:t>Do not redesign the brand.</w:t>
      </w:r>
    </w:p>
    <w:p>
      <w:pPr>
        <w:pStyle w:val="ListBullet"/>
        <w:spacing w:after="60"/>
      </w:pPr>
      <w:r>
        <w:t>Do not replace the green palette with a trendier color scheme.</w:t>
      </w:r>
    </w:p>
    <w:p>
      <w:pPr>
        <w:pStyle w:val="ListBullet"/>
        <w:spacing w:after="60"/>
      </w:pPr>
      <w:r>
        <w:t>Do not remove macro colors.</w:t>
      </w:r>
    </w:p>
    <w:p>
      <w:pPr>
        <w:pStyle w:val="ListBullet"/>
        <w:spacing w:after="60"/>
      </w:pPr>
      <w:r>
        <w:t>Do not heavily modify the desktop meal-plan table.</w:t>
      </w:r>
    </w:p>
    <w:p>
      <w:pPr>
        <w:pStyle w:val="ListBullet"/>
        <w:spacing w:after="60"/>
      </w:pPr>
      <w:r>
        <w:t>Do not add strong gradients, glass effects, excessive shadows or colorful card backgrounds.</w:t>
      </w:r>
    </w:p>
    <w:p>
      <w:pPr>
        <w:pStyle w:val="ListBullet"/>
        <w:spacing w:after="60"/>
      </w:pPr>
      <w:r>
        <w:t>Do not make mobile compact by reducing text/touch targets too far; compact spacing, not usability.</w:t>
      </w:r>
    </w:p>
    <w:p>
      <w:pPr>
        <w:pStyle w:val="Heading1"/>
      </w:pPr>
      <w:r>
        <w:t>Final target</w:t>
      </w:r>
    </w:p>
    <w:p>
      <w:r>
        <w:rPr>
          <w:b/>
        </w:rPr>
        <w:t xml:space="preserve">Pinch should feel like the same product, just more deliberate: </w:t>
      </w:r>
      <w:r>
        <w:t>slightly denser on mobile, better contained on laptop, more consistent in its component styling, and given only a whisper of background color. The strongest existing screens should be preserved rather than redesigned.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36A"/>
        <w:sz w:val="16"/>
      </w:rPr>
      <w:t>Pinch UI Polish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5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A6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25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