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Big Data y Machine Learning para Economia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Pr="002960F8" w:rsidRDefault="00767463" w:rsidP="00767463">
      <w:pPr>
        <w:ind w:left="284" w:hanging="284"/>
        <w:jc w:val="center"/>
        <w:rPr>
          <w:rFonts w:ascii="Cambria Math" w:hAnsi="Cambria Math" w:cs="Times New Roman"/>
          <w:b/>
          <w:bCs/>
          <w:lang w:val="es-HN"/>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r w:rsidR="00AE76F7" w:rsidRPr="00382B57">
        <w:rPr>
          <w:rFonts w:ascii="Cambria Math" w:hAnsi="Cambria Math"/>
          <w:i/>
          <w:spacing w:val="11"/>
          <w:sz w:val="22"/>
          <w:szCs w:val="22"/>
        </w:rPr>
        <w:t xml:space="preserve"> </w:t>
      </w:r>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r w:rsidRPr="004213FB">
        <w:rPr>
          <w:rFonts w:ascii="Cambria Math" w:hAnsi="Cambria Math"/>
          <w:b/>
          <w:bCs/>
          <w:sz w:val="24"/>
          <w:szCs w:val="24"/>
        </w:rPr>
        <w:lastRenderedPageBreak/>
        <w:t>Introducción</w:t>
      </w:r>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r w:rsidR="00190BE5" w:rsidRPr="0018463D">
          <w:rPr>
            <w:rStyle w:val="Hipervnculo"/>
            <w:rFonts w:ascii="Cambria Math" w:hAnsi="Cambria Math"/>
            <w:lang w:val="es-HN"/>
          </w:rPr>
          <w:t>Mincer</w:t>
        </w:r>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el cual es el paper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Siguiendo la propuesta minceriana</w:t>
      </w:r>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Cardoso et all</w:t>
        </w:r>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r w:rsidR="00B826EC" w:rsidRPr="00ED145B">
          <w:rPr>
            <w:rStyle w:val="Hipervnculo"/>
            <w:rFonts w:ascii="Cambria Math" w:eastAsia="Georgia" w:hAnsi="Cambria Math" w:cs="Georgia"/>
            <w:sz w:val="22"/>
            <w:szCs w:val="22"/>
          </w:rPr>
          <w:t xml:space="preserve">Galassi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r w:rsidR="00D9706A" w:rsidRPr="000F7861">
          <w:rPr>
            <w:rStyle w:val="Hipervnculo"/>
            <w:rFonts w:ascii="Cambria Math" w:hAnsi="Cambria Math"/>
            <w:sz w:val="22"/>
            <w:szCs w:val="22"/>
          </w:rPr>
          <w:t>Oxa</w:t>
        </w:r>
        <w:r w:rsidR="000F7861" w:rsidRPr="000F7861">
          <w:rPr>
            <w:rStyle w:val="Hipervnculo"/>
            <w:rFonts w:ascii="Cambria Math" w:hAnsi="Cambria Math"/>
            <w:sz w:val="22"/>
            <w:szCs w:val="22"/>
          </w:rPr>
          <w:t xml:space="preserve"> &amp; Laoyza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estiman modelos de Mincer para Bolivia, evalúan</w:t>
      </w:r>
      <w:r w:rsidR="00E53411">
        <w:rPr>
          <w:rFonts w:ascii="Cambria Math" w:eastAsia="Georgia" w:hAnsi="Cambria Math" w:cs="Georgia"/>
          <w:sz w:val="22"/>
          <w:szCs w:val="22"/>
        </w:rPr>
        <w:t>do</w:t>
      </w:r>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dummy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r w:rsidRPr="00F472E2">
        <w:rPr>
          <w:rFonts w:ascii="Cambria Math" w:hAnsi="Cambria Math"/>
          <w:b/>
          <w:bCs/>
          <w:sz w:val="24"/>
          <w:szCs w:val="24"/>
        </w:rPr>
        <w:t>Datos</w:t>
      </w:r>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r w:rsidR="00382B57" w:rsidRPr="00496FED">
        <w:rPr>
          <w:rFonts w:ascii="Cambria Math" w:hAnsi="Cambria Math"/>
        </w:rPr>
        <w:t>Medición</w:t>
      </w:r>
      <w:r w:rsidRPr="00496FED">
        <w:rPr>
          <w:rFonts w:ascii="Cambria Math" w:hAnsi="Cambria Math"/>
        </w:rPr>
        <w:t xml:space="preserve"> de Pobreza Monetaria y Desigualdad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0F66D05D"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sidR="00C8441A">
        <w:rPr>
          <w:rFonts w:ascii="Cambria Math" w:hAnsi="Cambria Math"/>
          <w:lang w:val="es-HN"/>
        </w:rPr>
        <w:t xml:space="preserve">del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w:t>
      </w:r>
      <w:r w:rsidRPr="003B405D">
        <w:rPr>
          <w:rFonts w:ascii="Cambria Math" w:hAnsi="Cambria Math"/>
          <w:lang w:val="es-HN"/>
        </w:rPr>
        <w:lastRenderedPageBreak/>
        <w:t>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r w:rsidRPr="0018463D">
          <w:rPr>
            <w:rStyle w:val="Hipervnculo"/>
            <w:rFonts w:ascii="Cambria Math" w:hAnsi="Cambria Math"/>
            <w:lang w:val="es-HN"/>
          </w:rPr>
          <w:t>Mincer</w:t>
        </w:r>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EF4A69">
      <w:pPr>
        <w:ind w:right="224"/>
        <w:jc w:val="both"/>
        <w:rPr>
          <w:rFonts w:eastAsiaTheme="minorEastAsia"/>
          <w:lang w:val="es-HN"/>
        </w:rPr>
      </w:pPr>
    </w:p>
    <w:p w14:paraId="0C3BC270" w14:textId="6FB70B0A" w:rsidR="00C6148A" w:rsidRPr="00C6148A" w:rsidRDefault="00C6148A" w:rsidP="00EF4A69">
      <w:pPr>
        <w:ind w:right="224"/>
        <w:jc w:val="both"/>
        <w:rPr>
          <w:rFonts w:ascii="Cambria Math" w:hAnsi="Cambria Math"/>
          <w:lang w:val="es-HN"/>
        </w:rPr>
      </w:pPr>
      <w:r w:rsidRPr="00C6148A">
        <w:rPr>
          <w:rFonts w:ascii="Cambria Math" w:hAnsi="Cambria Math"/>
          <w:lang w:val="es-HN"/>
        </w:rPr>
        <w:t xml:space="preserve">A pesar de que la variable de experiencia incluida en la ecuación de </w:t>
      </w:r>
      <w:hyperlink r:id="rId20" w:history="1">
        <w:r w:rsidRPr="0018463D">
          <w:rPr>
            <w:rStyle w:val="Hipervnculo"/>
            <w:rFonts w:ascii="Cambria Math" w:hAnsi="Cambria Math"/>
            <w:lang w:val="es-HN"/>
          </w:rPr>
          <w:t>Mincer</w:t>
        </w:r>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sidRPr="0089274D">
        <w:rPr>
          <w:rFonts w:ascii="Cambria Math" w:hAnsi="Cambria Math"/>
          <w:lang w:val="es-HN"/>
        </w:rPr>
        <w:t xml:space="preserve">, </w:t>
      </w:r>
      <w:r w:rsidRPr="00C6148A">
        <w:rPr>
          <w:rFonts w:ascii="Cambria Math" w:hAnsi="Cambria Math"/>
          <w:lang w:val="es-HN"/>
        </w:rPr>
        <w:t xml:space="preserve">no se encuentra observada en los datos recopilados en las encuestas de hogares en Colombia, es común en muchas investigaciones crear una medida de experiencia potencial a partir de la edad y la escolaridad, siguiendo el enfoque propuesto por </w:t>
      </w:r>
      <w:hyperlink r:id="rId21" w:history="1">
        <w:r w:rsidRPr="002B26AF">
          <w:rPr>
            <w:rStyle w:val="Hipervnculo"/>
            <w:rFonts w:ascii="Cambria Math" w:hAnsi="Cambria Math"/>
            <w:lang w:val="es-HN"/>
          </w:rPr>
          <w:t>Guataquí, et al (2009).</w:t>
        </w:r>
      </w:hyperlink>
      <w:r w:rsidR="00EF4A69">
        <w:rPr>
          <w:rFonts w:ascii="Cambria Math" w:hAnsi="Cambria Math"/>
          <w:lang w:val="es-HN"/>
        </w:rPr>
        <w:t xml:space="preserve"> </w:t>
      </w:r>
      <w:r w:rsidRPr="00C6148A">
        <w:rPr>
          <w:rFonts w:ascii="Cambria Math" w:hAnsi="Cambria Math"/>
          <w:lang w:val="es-HN"/>
        </w:rPr>
        <w:t>Especialmente en este estudio, la variable experiencia se deriva de los datos obtenidos en respuesta a la siguiente pregunta: "¿Cuánto tiempo ha estado trabajando de manera continua en esta empresa, negocio, industria, oficina, firma o finca?" Esta selección se basa en el hecho de que, al construir la experiencia potencia</w:t>
      </w:r>
      <w:r>
        <w:rPr>
          <w:rFonts w:ascii="Cambria Math" w:hAnsi="Cambria Math"/>
          <w:lang w:val="es-HN"/>
        </w:rPr>
        <w:t>l</w:t>
      </w:r>
      <w:r w:rsidRPr="00C6148A">
        <w:rPr>
          <w:rFonts w:ascii="Cambria Math" w:hAnsi="Cambria Math"/>
          <w:lang w:val="es-HN"/>
        </w:rPr>
        <w:t>, se crearía una relación lineal perfecta con la variable edad. Dado que la edad desempeña un papel fundamental en nuestro análisis, optamos por utilizar la medida de experiencia tal como se proporciona en la encuesta</w:t>
      </w:r>
      <w:r w:rsidR="002960F8">
        <w:rPr>
          <w:rFonts w:ascii="Cambria Math" w:hAnsi="Cambria Math"/>
          <w:lang w:val="es-HN"/>
        </w:rPr>
        <w:t>.</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lang w:val="es-HN"/>
            </w:rPr>
            <m:t>:</m:t>
          </m:r>
          <m:r>
            <m:rPr>
              <m:sty m:val="p"/>
            </m:rPr>
            <w:rPr>
              <w:rFonts w:ascii="Cambria Math" w:hAnsi="Cambria Math"/>
              <w:lang w:val="es-HN"/>
            </w:rPr>
            <m:t>Es un vector de controles que incluye las siguientes variables:</m:t>
          </m:r>
        </m:oMath>
      </m:oMathPara>
    </w:p>
    <w:p w14:paraId="54752EA5" w14:textId="77777777" w:rsidR="008D7F64" w:rsidRPr="00C6148A" w:rsidRDefault="008D7F64" w:rsidP="008D7F64">
      <w:pPr>
        <w:rPr>
          <w:rFonts w:eastAsiaTheme="minorEastAsia"/>
          <w:sz w:val="23"/>
          <w:szCs w:val="23"/>
          <w:lang w:val="es-HN"/>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09216CAA" w14:textId="62525A79"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b/>
          <w:i/>
        </w:rPr>
      </w:pPr>
    </w:p>
    <w:p w14:paraId="0C65ADF3" w14:textId="33CEFC86"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26BA71D4" w14:textId="59ADA0FD"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7505F4FB" w14:textId="009430AE"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501C417A" w14:textId="77777777"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scraping de tablas de una lista de </w:t>
      </w:r>
      <w:r w:rsidR="00436BD2" w:rsidRPr="007D2CDF">
        <w:rPr>
          <w:rFonts w:ascii="Cambria Math" w:hAnsi="Cambria Math"/>
          <w:lang w:val="es-HN"/>
        </w:rPr>
        <w:t>url</w:t>
      </w:r>
      <w:r w:rsidRPr="00F125FC">
        <w:rPr>
          <w:rFonts w:ascii="Cambria Math" w:hAnsi="Cambria Math"/>
          <w:lang w:val="es-HN"/>
        </w:rPr>
        <w:t xml:space="preserve">s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 xml:space="preserve">rame.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r w:rsidR="00436BD2" w:rsidRPr="007D2CDF">
        <w:rPr>
          <w:rFonts w:ascii="Cambria Math" w:hAnsi="Cambria Math"/>
          <w:lang w:val="es-HN"/>
        </w:rPr>
        <w:t>url</w:t>
      </w:r>
      <w:r w:rsidR="00436BD2" w:rsidRPr="00F125FC">
        <w:rPr>
          <w:rFonts w:ascii="Cambria Math" w:hAnsi="Cambria Math"/>
          <w:lang w:val="es-HN"/>
        </w:rPr>
        <w:t>s</w:t>
      </w:r>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r w:rsidRPr="000D01F5">
        <w:rPr>
          <w:rFonts w:ascii="Cambria Math" w:hAnsi="Cambria Math"/>
          <w:lang w:val="es-HN"/>
        </w:rPr>
        <w:t>y_salary_m_hu</w:t>
      </w:r>
      <w:r>
        <w:rPr>
          <w:rFonts w:ascii="Cambria Math" w:hAnsi="Cambria Math"/>
          <w:lang w:val="es-HN"/>
        </w:rPr>
        <w:t xml:space="preserve">), el </w:t>
      </w:r>
      <w:r w:rsidRPr="000D01F5">
        <w:rPr>
          <w:rFonts w:ascii="Cambria Math" w:hAnsi="Cambria Math"/>
          <w:lang w:val="es-HN"/>
        </w:rPr>
        <w:t>salario - real por hora (habitual) - principal occ.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lastRenderedPageBreak/>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Se construyeron dos (2) variables adicionales, remuneraciones extras en forma monetaria y en 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r w:rsidRPr="00B562A0">
        <w:rPr>
          <w:rFonts w:ascii="Cambria Math" w:hAnsi="Cambria Math"/>
          <w:i/>
          <w:iCs/>
          <w:lang w:val="es-HN"/>
        </w:rPr>
        <w:t>maxEducLevel:</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r w:rsidRPr="00B562A0">
        <w:rPr>
          <w:rFonts w:ascii="Cambria Math" w:hAnsi="Cambria Math"/>
          <w:i/>
          <w:iCs/>
          <w:lang w:val="es-HN"/>
        </w:rPr>
        <w:t>totalHoursWorked:</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y a la heterogeneidad de los ingresos, según edad, 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lastRenderedPageBreak/>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2F27F9BF"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2BA4CEC2" w14:textId="6C9CAF0E" w:rsidR="009D6D20" w:rsidRDefault="009D6D20" w:rsidP="005F21EC">
      <w:pPr>
        <w:spacing w:before="103" w:line="254" w:lineRule="auto"/>
        <w:ind w:right="82"/>
        <w:jc w:val="both"/>
        <w:rPr>
          <w:rFonts w:ascii="Cambria Math" w:hAnsi="Cambria Math"/>
          <w:lang w:val="es-HN"/>
        </w:rPr>
      </w:pPr>
    </w:p>
    <w:p w14:paraId="51F4B055" w14:textId="331D9DA6" w:rsidR="009D6D20" w:rsidRDefault="009D6D20" w:rsidP="005F21EC">
      <w:pPr>
        <w:spacing w:before="103" w:line="254" w:lineRule="auto"/>
        <w:ind w:right="82"/>
        <w:jc w:val="both"/>
        <w:rPr>
          <w:rFonts w:ascii="Cambria Math" w:hAnsi="Cambria Math"/>
          <w:lang w:val="es-HN"/>
        </w:rPr>
      </w:pPr>
    </w:p>
    <w:p w14:paraId="1235AAF2" w14:textId="2FEBBDE3" w:rsidR="009D6D20" w:rsidRDefault="009D6D20" w:rsidP="005F21EC">
      <w:pPr>
        <w:spacing w:before="103" w:line="254" w:lineRule="auto"/>
        <w:ind w:right="82"/>
        <w:jc w:val="both"/>
        <w:rPr>
          <w:rFonts w:ascii="Cambria Math" w:hAnsi="Cambria Math"/>
          <w:lang w:val="es-HN"/>
        </w:rPr>
      </w:pP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Para cada una de las ecuaciones siguientes se analizará la significancia estadística a partir de los valores de probabilidad o p_values; adicionalmente, se examinará la significancia económica del parámetro de interés, que dado que estamos construyendo regresiones semi-logaritmica,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w:lastRenderedPageBreak/>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09775502" w14:textId="4204E121" w:rsidR="009D6D20" w:rsidRDefault="009D6D20" w:rsidP="00B2238D">
      <w:pPr>
        <w:pStyle w:val="Textoindependiente"/>
        <w:ind w:left="705"/>
        <w:jc w:val="both"/>
        <w:rPr>
          <w:rFonts w:ascii="Cambria Math" w:hAnsi="Cambria Math"/>
          <w:sz w:val="22"/>
          <w:szCs w:val="22"/>
          <w:lang w:val="es-HN"/>
        </w:rPr>
      </w:pPr>
    </w:p>
    <w:p w14:paraId="503D79B1" w14:textId="617258CF" w:rsidR="009D6D20" w:rsidRDefault="009D6D20" w:rsidP="00B2238D">
      <w:pPr>
        <w:pStyle w:val="Textoindependiente"/>
        <w:ind w:left="705"/>
        <w:jc w:val="both"/>
        <w:rPr>
          <w:rFonts w:ascii="Cambria Math" w:hAnsi="Cambria Math"/>
          <w:sz w:val="22"/>
          <w:szCs w:val="22"/>
          <w:lang w:val="es-HN"/>
        </w:rPr>
      </w:pPr>
    </w:p>
    <w:p w14:paraId="7AC5F169" w14:textId="77777777" w:rsidR="009D6D20" w:rsidRP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r w:rsidRPr="00382B57">
        <w:rPr>
          <w:rFonts w:ascii="Cambria Math" w:hAnsi="Cambria Math"/>
          <w:w w:val="95"/>
        </w:rPr>
        <w:t>it’s</w:t>
      </w:r>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w:t>
      </w:r>
      <w:r w:rsidRPr="00221B24">
        <w:rPr>
          <w:rFonts w:ascii="Cambria Math" w:hAnsi="Cambria Math"/>
          <w:lang w:val="es-HN"/>
        </w:rPr>
        <w:lastRenderedPageBreak/>
        <w:t xml:space="preserve">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Including a discussion of the “peak age” with it’s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3E998CF1" w14:textId="23C0D0B2" w:rsidR="008516C9" w:rsidRDefault="008516C9">
      <w:pPr>
        <w:pStyle w:val="Textoindependiente"/>
        <w:spacing w:before="5"/>
        <w:rPr>
          <w:rFonts w:ascii="Cambria Math" w:hAnsi="Cambria Math"/>
          <w:sz w:val="22"/>
          <w:szCs w:val="22"/>
        </w:rPr>
      </w:pPr>
    </w:p>
    <w:p w14:paraId="3712F9A8" w14:textId="6E007653" w:rsidR="008516C9" w:rsidRDefault="008516C9">
      <w:pPr>
        <w:pStyle w:val="Textoindependiente"/>
        <w:spacing w:before="5"/>
        <w:rPr>
          <w:rFonts w:ascii="Cambria Math" w:hAnsi="Cambria Math"/>
          <w:sz w:val="22"/>
          <w:szCs w:val="22"/>
        </w:rPr>
      </w:pPr>
    </w:p>
    <w:p w14:paraId="22C83541" w14:textId="77777777" w:rsidR="008516C9" w:rsidRDefault="008516C9">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51184886"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 xml:space="preserve">A pesar de que los resultados de la regresión de la brecha salarial demuestran que ser mujer está </w:t>
      </w:r>
      <w:r w:rsidRPr="008516C9">
        <w:rPr>
          <w:rFonts w:ascii="Cambria Math" w:hAnsi="Cambria Math"/>
          <w:sz w:val="22"/>
          <w:szCs w:val="22"/>
          <w:lang w:val="es-HN"/>
        </w:rPr>
        <w:lastRenderedPageBreak/>
        <w:t>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In this section, estimate the conditional wage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r w:rsidR="00481226" w:rsidRPr="0018463D">
          <w:rPr>
            <w:rStyle w:val="Hipervnculo"/>
            <w:rFonts w:ascii="Cambria Math" w:hAnsi="Cambria Math"/>
            <w:lang w:val="es-HN"/>
          </w:rPr>
          <w:t>Mincer</w:t>
        </w:r>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r w:rsidRPr="00231380">
          <w:rPr>
            <w:rStyle w:val="Hipervnculo"/>
            <w:rFonts w:asciiTheme="majorHAnsi" w:hAnsiTheme="majorHAnsi"/>
            <w:lang w:val="es-HN"/>
          </w:rPr>
          <w:t>Nazier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4AFB7E89" w14:textId="011BCB6E"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r w:rsidR="00D231D1" w:rsidRPr="0018463D">
          <w:rPr>
            <w:rStyle w:val="Hipervnculo"/>
            <w:rFonts w:ascii="Cambria Math" w:hAnsi="Cambria Math"/>
            <w:lang w:val="es-HN"/>
          </w:rPr>
          <w:t>Mincer</w:t>
        </w:r>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Second, using FWL with boostrap.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FWL y FWL Boostrap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Resid)</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Resid)</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2960F8"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lastRenderedPageBreak/>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dummy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5"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highlighting the coefficient of interest. ”Nuisance”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r w:rsidRPr="00382B57">
        <w:rPr>
          <w:rFonts w:ascii="Cambria Math" w:hAnsi="Cambria Math"/>
        </w:rPr>
        <w:t>seed(10101),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tions that seem to</w:t>
      </w:r>
      <w:r>
        <w:rPr>
          <w:rFonts w:ascii="Cambria Math" w:hAnsi="Cambria Math"/>
          <w:spacing w:val="-2"/>
          <w:w w:val="95"/>
        </w:rPr>
        <w:t xml:space="preserve"> </w:t>
      </w:r>
      <w:r w:rsidRPr="00382B57">
        <w:rPr>
          <w:rFonts w:ascii="Cambria Math" w:hAnsi="Cambria Math"/>
          <w:spacing w:val="-2"/>
          <w:w w:val="95"/>
        </w:rPr>
        <w:t xml:space="preserve">”miss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in the tails of the prediction error distribution? Are these outliers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r w:rsidRPr="00382B57">
        <w:rPr>
          <w:rFonts w:ascii="Cambria Math" w:hAnsi="Cambria Math"/>
          <w:spacing w:val="20"/>
        </w:rPr>
        <w:t xml:space="preserve"> </w:t>
      </w:r>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6">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7">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8">
        <w:r w:rsidRPr="00382B57">
          <w:rPr>
            <w:rFonts w:ascii="Cambria Math" w:hAnsi="Cambria Math"/>
            <w:color w:val="0000FF"/>
            <w:sz w:val="22"/>
            <w:szCs w:val="22"/>
          </w:rPr>
          <w:t>tidyverse</w:t>
        </w:r>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9">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17B499BD" w:rsidR="00D30399" w:rsidRDefault="00D30399" w:rsidP="001F6864">
      <w:pPr>
        <w:tabs>
          <w:tab w:val="left" w:pos="706"/>
        </w:tabs>
        <w:spacing w:before="172" w:line="232" w:lineRule="auto"/>
        <w:ind w:right="279"/>
        <w:rPr>
          <w:rFonts w:ascii="Cambria Math" w:hAnsi="Cambria Math"/>
        </w:rPr>
      </w:pPr>
    </w:p>
    <w:p w14:paraId="067AA375" w14:textId="77777777" w:rsidR="003A5889" w:rsidRDefault="003A5889"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0"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Guimaraes, P., Portugal, P., &amp; Raposo, P (2016). </w:t>
      </w:r>
      <w:r w:rsidRPr="009516C4">
        <w:rPr>
          <w:rFonts w:ascii="Cambria Math" w:hAnsi="Cambria Math" w:cs="Calibri"/>
          <w:color w:val="000000"/>
        </w:rPr>
        <w:t xml:space="preserve">The sources of the gender wage gap. </w:t>
      </w:r>
      <w:hyperlink r:id="rId41"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2"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3"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4"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5"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6"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7"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81226">
        <w:rPr>
          <w:rFonts w:ascii="Cambria Math" w:hAnsi="Cambria Math" w:cs="Calibri"/>
          <w:color w:val="000000"/>
          <w:lang w:val="es-HN"/>
        </w:rPr>
        <w:t>Galassi, G., &amp; Andrada, M. (2009). La relación entre educación e ingresos: Ecuaciones de Mincer por regiones geográficas de Argentina.</w:t>
      </w:r>
      <w:r w:rsidRPr="00496FED">
        <w:rPr>
          <w:rFonts w:ascii="Cambria Math" w:hAnsi="Cambria Math" w:cs="Calibri"/>
          <w:color w:val="000000"/>
          <w:lang w:val="es-HN"/>
        </w:rPr>
        <w:t xml:space="preserve"> </w:t>
      </w:r>
      <w:hyperlink r:id="rId48"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r w:rsidRPr="00496FED">
        <w:rPr>
          <w:rFonts w:ascii="Cambria Math" w:hAnsi="Cambria Math" w:cs="Calibri"/>
          <w:color w:val="000000"/>
          <w:lang w:val="es-HN"/>
        </w:rPr>
        <w:t xml:space="preserve">Guataquí, J.C., Garcia, A.F., &amp; Rodriguez, M. (2009). Estimaciones de los determinantes de los ingresos laborales en Colombia con consideraciones diferenciales para asalariados y cuenta propia (Serie documentos de trabajo No. 70). Universidad del Rosario, Facultad de Economía. </w:t>
      </w:r>
      <w:hyperlink r:id="rId49"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Lemieux, T. (2000). The ‘‘Mincer Equation’’ thirty years after schooling, Experience, and Earnings. Journées de la microéconomie appliquée at Université Laval.</w:t>
      </w:r>
      <w:r w:rsidRPr="009516C4">
        <w:rPr>
          <w:rFonts w:ascii="Cambria Math" w:hAnsi="Cambria Math"/>
        </w:rPr>
        <w:t xml:space="preserve"> </w:t>
      </w:r>
      <w:hyperlink r:id="rId50"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López, J. L., Sarmiento, G. (2019). Determinantes de la brecha salarial en Ecuador: análisis bajo un modelo minceriano relacionado con variables agregadas dummy. Espirales revista multidisciplinaria de invesitgación científica, vol. 3, núm. 27, 2019.</w:t>
      </w:r>
      <w:r>
        <w:t xml:space="preserve"> </w:t>
      </w:r>
      <w:hyperlink r:id="rId51" w:history="1">
        <w:r w:rsidRPr="008E55C8">
          <w:rPr>
            <w:rStyle w:val="Hipervnculo"/>
            <w:rFonts w:ascii="Cambria Math" w:hAnsi="Cambria Math"/>
          </w:rPr>
          <w:t xml:space="preserve">Determinantes de la </w:t>
        </w:r>
        <w:r w:rsidRPr="008E55C8">
          <w:rPr>
            <w:rStyle w:val="Hipervnculo"/>
            <w:rFonts w:ascii="Cambria Math" w:hAnsi="Cambria Math"/>
          </w:rPr>
          <w:lastRenderedPageBreak/>
          <w:t>brecha salarial en Ecuador: análisis bajo un modelo minceriano relacionado con variables agregadas dummy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Vistribittion ofearnings and employment: An Overview. National Bureau of Economic Research (NBER). </w:t>
      </w:r>
      <w:hyperlink r:id="rId52"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r w:rsidRPr="00D30399">
        <w:rPr>
          <w:rFonts w:ascii="Cambria Math" w:eastAsia="Georgia" w:hAnsi="Cambria Math" w:cs="Calibri"/>
          <w:sz w:val="22"/>
          <w:szCs w:val="22"/>
          <w:lang w:val="en-US"/>
        </w:rPr>
        <w:t>Nazier, H. (2017). The conditional gender wage gap in Egypt: premium or penalty?. Topics in Middle Eastern and African Economies. Vol. 19, Issue No. 2, September 2017</w:t>
      </w:r>
      <w:r w:rsidRPr="00496FED">
        <w:rPr>
          <w:rFonts w:ascii="Cambria Math" w:hAnsi="Cambria Math"/>
          <w:lang w:val="en-US"/>
        </w:rPr>
        <w:t xml:space="preserve">. </w:t>
      </w:r>
      <w:hyperlink r:id="rId53" w:history="1">
        <w:r w:rsidRPr="008E55C8">
          <w:rPr>
            <w:rStyle w:val="Hipervnculo"/>
            <w:rFonts w:ascii="Cambria Math" w:hAnsi="Cambria Math"/>
            <w:sz w:val="22"/>
            <w:szCs w:val="22"/>
          </w:rPr>
          <w:t>Microsoft Word - 2-3 The Conditional Gender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r w:rsidRPr="00496FED">
        <w:rPr>
          <w:rFonts w:ascii="Cambria Math" w:hAnsi="Cambria Math"/>
          <w:sz w:val="22"/>
          <w:szCs w:val="22"/>
          <w:lang w:val="en-US"/>
        </w:rPr>
        <w:t>Oxa</w:t>
      </w:r>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La Evolución del rol del capital humano en la determinación de los ingresos en Bolivia en el período 2004-2015. Una aplicación del modelo de Mincer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4"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5"/>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3ED85" w14:textId="77777777" w:rsidR="00AD7DDB" w:rsidRDefault="00AD7DDB">
      <w:r>
        <w:separator/>
      </w:r>
    </w:p>
  </w:endnote>
  <w:endnote w:type="continuationSeparator" w:id="0">
    <w:p w14:paraId="2BDA0995" w14:textId="77777777" w:rsidR="00AD7DDB" w:rsidRDefault="00AD7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FB97A" w14:textId="77777777" w:rsidR="00AD7DDB" w:rsidRDefault="00AD7DDB">
      <w:r>
        <w:separator/>
      </w:r>
    </w:p>
  </w:footnote>
  <w:footnote w:type="continuationSeparator" w:id="0">
    <w:p w14:paraId="4338E982" w14:textId="77777777" w:rsidR="00AD7DDB" w:rsidRDefault="00AD7DDB">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hyperlink r:id="rId2" w:anchor="preguntas-frecuentes" w:history="1">
        <w:r w:rsidRPr="00496FED">
          <w:rPr>
            <w:rStyle w:val="Hipervnculo"/>
            <w:rFonts w:ascii="Cambria Math" w:hAnsi="Cambria Math"/>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960F8"/>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81226"/>
    <w:rsid w:val="00481950"/>
    <w:rsid w:val="00485358"/>
    <w:rsid w:val="00492067"/>
    <w:rsid w:val="00496FED"/>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119EE"/>
    <w:rsid w:val="0061571C"/>
    <w:rsid w:val="00622311"/>
    <w:rsid w:val="006370BE"/>
    <w:rsid w:val="00663106"/>
    <w:rsid w:val="006B0470"/>
    <w:rsid w:val="006C0B91"/>
    <w:rsid w:val="00717D36"/>
    <w:rsid w:val="00727552"/>
    <w:rsid w:val="00733054"/>
    <w:rsid w:val="007413CE"/>
    <w:rsid w:val="00746FEB"/>
    <w:rsid w:val="00767463"/>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A06C99"/>
    <w:rsid w:val="00A34DA2"/>
    <w:rsid w:val="00A6664B"/>
    <w:rsid w:val="00A80E72"/>
    <w:rsid w:val="00A9318F"/>
    <w:rsid w:val="00A94D01"/>
    <w:rsid w:val="00AC74A5"/>
    <w:rsid w:val="00AD178F"/>
    <w:rsid w:val="00AD7DDB"/>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6148A"/>
    <w:rsid w:val="00C704A0"/>
    <w:rsid w:val="00C830A3"/>
    <w:rsid w:val="00C8441A"/>
    <w:rsid w:val="00C87638"/>
    <w:rsid w:val="00C901F8"/>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EF4A69"/>
    <w:rsid w:val="00F0009F"/>
    <w:rsid w:val="00F06FED"/>
    <w:rsid w:val="00F125FC"/>
    <w:rsid w:val="00F45C66"/>
    <w:rsid w:val="00F472E2"/>
    <w:rsid w:val="00F64D7B"/>
    <w:rsid w:val="00F72DDF"/>
    <w:rsid w:val="00F7739B"/>
    <w:rsid w:val="00FB6C4E"/>
    <w:rsid w:val="00FB7FD2"/>
    <w:rsid w:val="00FC06FC"/>
    <w:rsid w:val="00FC612E"/>
    <w:rsid w:val="00FF55F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www.aeaweb.org/journals/aer/styleguide"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png"/><Relationship Id="rId42" Type="http://schemas.openxmlformats.org/officeDocument/2006/relationships/hyperlink" Target="https://ideas.repec.org/s/kap/reveho.html" TargetMode="External"/><Relationship Id="rId47" Type="http://schemas.openxmlformats.org/officeDocument/2006/relationships/hyperlink" Target="https://microdatos.dane.gov.co/index.php/catalog/547" TargetMode="External"/><Relationship Id="rId50" Type="http://schemas.openxmlformats.org/officeDocument/2006/relationships/hyperlink" Target="http://cle.berkeley.edu/wp/wp62.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project-awesome.org/" TargetMode="External"/><Relationship Id="rId40" Type="http://schemas.openxmlformats.org/officeDocument/2006/relationships/hyperlink" Target="https://www.nber.org/books-and-chapters/human-capital-theoretical-and-empirical-analysis-special-reference-education-first-edition" TargetMode="External"/><Relationship Id="rId45" Type="http://schemas.openxmlformats.org/officeDocument/2006/relationships/hyperlink" Target="https://www.dane.gov.co/index.php/estadisticas-por-tema/cuentas-nacionales/cuentas-nacionales-departamentales" TargetMode="External"/><Relationship Id="rId53" Type="http://schemas.openxmlformats.org/officeDocument/2006/relationships/hyperlink" Target="https://meea.sites.luc.edu/volume19/pdfs/2-3%20The%20Conditional%20Gender%20Wage.pdf" TargetMode="Externa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a/kap/reveho/v1y2003i4p343-361.html" TargetMode="External"/><Relationship Id="rId48" Type="http://schemas.openxmlformats.org/officeDocument/2006/relationships/hyperlink" Target="https://www.aacademica.org/000-058/48"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redalyc.org/articulo.oa?id=573263326007"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style.tidyverse.org/" TargetMode="External"/><Relationship Id="rId46" Type="http://schemas.openxmlformats.org/officeDocument/2006/relationships/hyperlink" Target="https://www.dane.gov.co/files/investigaciones/notas-estadisticas/nov-2020-brecha-salarial-de-genero-colombia.pdf"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bportugal.pt/sites/default/files/anexos/papers/re201606_e.pdf" TargetMode="External"/><Relationship Id="rId54" Type="http://schemas.openxmlformats.org/officeDocument/2006/relationships/hyperlink" Target="http://doi.org/10.5281/zenodo.12118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hyperlink" Target="https://github.com/ignaciomsarmiento/PS_Repo" TargetMode="External"/><Relationship Id="rId49" Type="http://schemas.openxmlformats.org/officeDocument/2006/relationships/hyperlink" Target="http://ideas.repec.org/p/col/000092/005756.html" TargetMode="External"/><Relationship Id="rId57" Type="http://schemas.openxmlformats.org/officeDocument/2006/relationships/theme" Target="theme/theme1.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www.dane.gov.co/index.php/estadisticas-por-tema/cuentas-nacionales" TargetMode="External"/><Relationship Id="rId52" Type="http://schemas.openxmlformats.org/officeDocument/2006/relationships/hyperlink" Target="https://www.nber.org/books-and-chapters/education-income-and-human-behavio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20</Pages>
  <Words>7815</Words>
  <Characters>42985</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21</cp:revision>
  <cp:lastPrinted>2023-09-18T05:37:00Z</cp:lastPrinted>
  <dcterms:created xsi:type="dcterms:W3CDTF">2023-09-18T04:45:00Z</dcterms:created>
  <dcterms:modified xsi:type="dcterms:W3CDTF">2023-09-18T19:15:00Z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