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3280964F" w14:textId="77777777" w:rsidR="00767463" w:rsidRPr="002960F8" w:rsidRDefault="00767463" w:rsidP="00767463">
      <w:pPr>
        <w:ind w:left="284" w:hanging="284"/>
        <w:jc w:val="center"/>
        <w:rPr>
          <w:rFonts w:ascii="Cambria Math" w:hAnsi="Cambria Math" w:cs="Times New Roman"/>
          <w:b/>
          <w:bCs/>
          <w:lang w:val="es-HN"/>
        </w:rPr>
      </w:pPr>
    </w:p>
    <w:p w14:paraId="4056145D" w14:textId="0A13178A" w:rsidR="00AF320E" w:rsidRPr="00767463" w:rsidRDefault="00767463" w:rsidP="00767463">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w:t>
      </w:r>
      <w:proofErr w:type="gramStart"/>
      <w:r w:rsidRPr="00382B57">
        <w:rPr>
          <w:rFonts w:ascii="Cambria Math" w:hAnsi="Cambria Math"/>
          <w:sz w:val="22"/>
          <w:szCs w:val="22"/>
        </w:rPr>
        <w:t>predictors.</w:t>
      </w:r>
      <w:proofErr w:type="gramEnd"/>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0F66D05D"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sidR="00C8441A">
        <w:rPr>
          <w:rFonts w:ascii="Cambria Math" w:hAnsi="Cambria Math"/>
          <w:lang w:val="es-HN"/>
        </w:rPr>
        <w:t xml:space="preserve">del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w:t>
      </w:r>
      <w:r w:rsidRPr="003B405D">
        <w:rPr>
          <w:rFonts w:ascii="Cambria Math" w:hAnsi="Cambria Math"/>
          <w:lang w:val="es-HN"/>
        </w:rPr>
        <w:lastRenderedPageBreak/>
        <w:t>de 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EF4A69">
      <w:pPr>
        <w:ind w:right="224"/>
        <w:jc w:val="both"/>
        <w:rPr>
          <w:rFonts w:eastAsiaTheme="minorEastAsia"/>
          <w:lang w:val="es-HN"/>
        </w:rPr>
      </w:pPr>
    </w:p>
    <w:p w14:paraId="0C3BC270" w14:textId="6FB70B0A" w:rsidR="00C6148A" w:rsidRPr="00C6148A" w:rsidRDefault="00C6148A" w:rsidP="00EF4A69">
      <w:pPr>
        <w:ind w:right="224"/>
        <w:jc w:val="both"/>
        <w:rPr>
          <w:rFonts w:ascii="Cambria Math" w:hAnsi="Cambria Math"/>
          <w:lang w:val="es-HN"/>
        </w:rPr>
      </w:pPr>
      <w:r w:rsidRPr="00C6148A">
        <w:rPr>
          <w:rFonts w:ascii="Cambria Math" w:hAnsi="Cambria Math"/>
          <w:lang w:val="es-HN"/>
        </w:rPr>
        <w:t xml:space="preserve">A pesar de que la variable de experiencia incluida en la ecuación de </w:t>
      </w:r>
      <w:hyperlink r:id="rId20"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sidRPr="0089274D">
        <w:rPr>
          <w:rFonts w:ascii="Cambria Math" w:hAnsi="Cambria Math"/>
          <w:lang w:val="es-HN"/>
        </w:rPr>
        <w:t xml:space="preserve">, </w:t>
      </w:r>
      <w:r w:rsidRPr="00C6148A">
        <w:rPr>
          <w:rFonts w:ascii="Cambria Math" w:hAnsi="Cambria Math"/>
          <w:lang w:val="es-HN"/>
        </w:rPr>
        <w:t xml:space="preserve">no se encuentra observada en los datos recopilados en las encuestas de hogares en Colombia, es común en muchas investigaciones crear una medida de experiencia potencial a partir de la edad y la escolaridad, siguiendo el enfoque propuesto por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et al (2009).</w:t>
        </w:r>
      </w:hyperlink>
      <w:r w:rsidR="00EF4A69">
        <w:rPr>
          <w:rFonts w:ascii="Cambria Math" w:hAnsi="Cambria Math"/>
          <w:lang w:val="es-HN"/>
        </w:rPr>
        <w:t xml:space="preserve"> </w:t>
      </w:r>
      <w:r w:rsidRPr="00C6148A">
        <w:rPr>
          <w:rFonts w:ascii="Cambria Math" w:hAnsi="Cambria Math"/>
          <w:lang w:val="es-HN"/>
        </w:rPr>
        <w:t>Especialmente en este estudio, la variable experiencia se deriva de los datos obtenidos en respuesta a la siguiente pregunta: "¿Cuánto tiempo ha estado trabajando de manera continua en esta empresa, negocio, industria, oficina, firma o finca?" Esta selección se basa en el hecho de que, al construir la experiencia potencia</w:t>
      </w:r>
      <w:r>
        <w:rPr>
          <w:rFonts w:ascii="Cambria Math" w:hAnsi="Cambria Math"/>
          <w:lang w:val="es-HN"/>
        </w:rPr>
        <w:t>l</w:t>
      </w:r>
      <w:r w:rsidRPr="00C6148A">
        <w:rPr>
          <w:rFonts w:ascii="Cambria Math" w:hAnsi="Cambria Math"/>
          <w:lang w:val="es-HN"/>
        </w:rPr>
        <w:t>, se crearía una relación lineal perfecta con la variable edad. Dado que la edad desempeña un papel fundamental en nuestro análisis, optamos por utilizar la medida de experiencia tal como se proporciona en la encuesta</w:t>
      </w:r>
      <w:r w:rsidR="002960F8">
        <w:rPr>
          <w:rFonts w:ascii="Cambria Math" w:hAnsi="Cambria Math"/>
          <w:lang w:val="es-HN"/>
        </w:rPr>
        <w:t>.</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lang w:val="es-HN"/>
            </w:rPr>
            <m:t>:</m:t>
          </m:r>
          <m:r>
            <m:rPr>
              <m:sty m:val="p"/>
            </m:rPr>
            <w:rPr>
              <w:rFonts w:ascii="Cambria Math" w:hAnsi="Cambria Math"/>
              <w:lang w:val="es-HN"/>
            </w:rPr>
            <m:t>Es un vector de controles que incluye las siguientes variables:</m:t>
          </m:r>
        </m:oMath>
      </m:oMathPara>
    </w:p>
    <w:p w14:paraId="54752EA5" w14:textId="77777777" w:rsidR="008D7F64" w:rsidRPr="00C6148A" w:rsidRDefault="008D7F64" w:rsidP="008D7F64">
      <w:pPr>
        <w:rPr>
          <w:rFonts w:eastAsiaTheme="minorEastAsia"/>
          <w:sz w:val="23"/>
          <w:szCs w:val="23"/>
          <w:lang w:val="es-HN"/>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lastRenderedPageBreak/>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Se construyeron dos (2) variables adicionales, remuneraciones extras en forma monetaria y en 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91"/>
        <w:gridCol w:w="985"/>
        <w:gridCol w:w="1528"/>
        <w:gridCol w:w="1528"/>
        <w:gridCol w:w="1139"/>
        <w:gridCol w:w="1428"/>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lastRenderedPageBreak/>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y a la heterogeneidad de los ingresos, según edad, 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w:t>
      </w:r>
      <w:proofErr w:type="spellStart"/>
      <w:r>
        <w:rPr>
          <w:rFonts w:ascii="Cambria Math" w:hAnsi="Cambria Math"/>
          <w:w w:val="95"/>
          <w:lang w:val="es-HN"/>
        </w:rPr>
        <w:t>grafica</w:t>
      </w:r>
      <w:proofErr w:type="spellEnd"/>
      <w:r>
        <w:rPr>
          <w:rFonts w:ascii="Cambria Math" w:hAnsi="Cambria Math"/>
          <w:w w:val="95"/>
          <w:lang w:val="es-HN"/>
        </w:rPr>
        <w:t xml:space="preserve">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lastRenderedPageBreak/>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 xml:space="preserve">observar otras dimensiones o incluir otras variables que nos un espectro </w:t>
      </w:r>
      <w:proofErr w:type="spellStart"/>
      <w:r w:rsidR="00EE5D5F">
        <w:rPr>
          <w:rFonts w:ascii="Cambria Math" w:hAnsi="Cambria Math"/>
          <w:lang w:val="es-HN"/>
        </w:rPr>
        <w:t>mas</w:t>
      </w:r>
      <w:proofErr w:type="spellEnd"/>
      <w:r w:rsidR="00EE5D5F">
        <w:rPr>
          <w:rFonts w:ascii="Cambria Math" w:hAnsi="Cambria Math"/>
          <w:lang w:val="es-HN"/>
        </w:rPr>
        <w:t xml:space="preserve">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6"/>
        <w:gridCol w:w="1029"/>
        <w:gridCol w:w="1202"/>
        <w:gridCol w:w="1202"/>
        <w:gridCol w:w="1078"/>
        <w:gridCol w:w="1447"/>
        <w:gridCol w:w="1423"/>
        <w:gridCol w:w="1317"/>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396AB2B0"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w:t>
      </w:r>
      <w:r w:rsidR="009E40D5">
        <w:rPr>
          <w:rFonts w:ascii="Cambria Math" w:hAnsi="Cambria Math"/>
          <w:lang w:val="es-HN"/>
        </w:rPr>
        <w:t>está</w:t>
      </w:r>
      <w:r>
        <w:rPr>
          <w:rFonts w:ascii="Cambria Math" w:hAnsi="Cambria Math"/>
          <w:lang w:val="es-HN"/>
        </w:rPr>
        <w:t xml:space="preserve">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10A88948"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xml:space="preserve">, tema que se abordara con </w:t>
      </w:r>
      <w:r w:rsidR="009E40D5">
        <w:rPr>
          <w:rFonts w:ascii="Cambria Math" w:hAnsi="Cambria Math"/>
          <w:lang w:val="es-HN"/>
        </w:rPr>
        <w:t>mayor</w:t>
      </w:r>
      <w:r w:rsidR="00D25B3F">
        <w:rPr>
          <w:rFonts w:ascii="Cambria Math" w:hAnsi="Cambria Math"/>
          <w:lang w:val="es-HN"/>
        </w:rPr>
        <w:t xml:space="preserve">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w:lastRenderedPageBreak/>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adicional de edad solo representa una desviación del salario respecto a su media del 0.07%, mientras que el efecto de dos años adicionales no genera ningún cambio en relación con la media de los datos. </w:t>
      </w:r>
      <w:r w:rsidRPr="00221B24">
        <w:rPr>
          <w:rFonts w:ascii="Cambria Math" w:hAnsi="Cambria Math"/>
          <w:lang w:val="es-HN"/>
        </w:rPr>
        <w:lastRenderedPageBreak/>
        <w:t>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w:t>
      </w:r>
      <w:proofErr w:type="spellStart"/>
      <w:r w:rsidRPr="00221B24">
        <w:rPr>
          <w:rFonts w:ascii="Cambria Math" w:hAnsi="Cambria Math"/>
          <w:lang w:val="es-HN"/>
        </w:rPr>
        <w:t>osiblemente</w:t>
      </w:r>
      <w:proofErr w:type="spellEnd"/>
      <w:r w:rsidRPr="00221B24">
        <w:rPr>
          <w:rFonts w:ascii="Cambria Math" w:hAnsi="Cambria Math"/>
          <w:lang w:val="es-HN"/>
        </w:rPr>
        <w:t xml:space="preserv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lastRenderedPageBreak/>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1"/>
        <w:gridCol w:w="2481"/>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 xml:space="preserve">es de 0.001, lo que sugiere que solo alrededor del 0.01% de la variabilidad el salario por hora puede explicarse mediante la variable mujer. Esto indica que es </w:t>
      </w:r>
      <w:r w:rsidRPr="008516C9">
        <w:rPr>
          <w:rFonts w:ascii="Cambria Math" w:hAnsi="Cambria Math"/>
          <w:sz w:val="22"/>
          <w:szCs w:val="22"/>
          <w:lang w:val="es-HN"/>
        </w:rPr>
        <w:lastRenderedPageBreak/>
        <w:t>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w:t>
      </w:r>
      <w:proofErr w:type="spellStart"/>
      <w:r w:rsidRPr="00D231D1">
        <w:rPr>
          <w:rFonts w:ascii="Cambria Math" w:hAnsi="Cambria Math"/>
          <w:lang w:val="es-HN"/>
        </w:rPr>
        <w:t>the</w:t>
      </w:r>
      <w:proofErr w:type="spellEnd"/>
      <w:r w:rsidRPr="00D231D1">
        <w:rPr>
          <w:rFonts w:ascii="Cambria Math" w:hAnsi="Cambria Math"/>
          <w:lang w:val="es-HN"/>
        </w:rPr>
        <w:t xml:space="preserve"> </w:t>
      </w:r>
      <w:proofErr w:type="spellStart"/>
      <w:r w:rsidRPr="00D231D1">
        <w:rPr>
          <w:rFonts w:ascii="Cambria Math" w:hAnsi="Cambria Math"/>
          <w:lang w:val="es-HN"/>
        </w:rPr>
        <w:t>conditional</w:t>
      </w:r>
      <w:proofErr w:type="spellEnd"/>
      <w:r w:rsidRPr="00D231D1">
        <w:rPr>
          <w:rFonts w:ascii="Cambria Math" w:hAnsi="Cambria Math"/>
          <w:lang w:val="es-HN"/>
        </w:rPr>
        <w:t xml:space="preserve"> </w:t>
      </w:r>
      <w:proofErr w:type="spellStart"/>
      <w:r w:rsidRPr="00D231D1">
        <w:rPr>
          <w:rFonts w:ascii="Cambria Math" w:hAnsi="Cambria Math"/>
          <w:lang w:val="es-HN"/>
        </w:rPr>
        <w:t>wage</w:t>
      </w:r>
      <w:proofErr w:type="spellEnd"/>
      <w:r w:rsidRPr="00D231D1">
        <w:rPr>
          <w:rFonts w:ascii="Cambria Math" w:hAnsi="Cambria Math"/>
          <w:lang w:val="es-HN"/>
        </w:rPr>
        <w:t xml:space="preserv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lastRenderedPageBreak/>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t>
      </w:r>
      <w:proofErr w:type="spellStart"/>
      <w:r w:rsidR="00C830A3" w:rsidRPr="00C830A3">
        <w:rPr>
          <w:rFonts w:ascii="Cambria Math" w:hAnsi="Cambria Math"/>
          <w:lang w:val="es-HN"/>
        </w:rPr>
        <w:t>Waugh</w:t>
      </w:r>
      <w:proofErr w:type="spellEnd"/>
      <w:r w:rsidR="00C830A3" w:rsidRPr="00C830A3">
        <w:rPr>
          <w:rFonts w:ascii="Cambria Math" w:hAnsi="Cambria Math"/>
          <w:lang w:val="es-HN"/>
        </w:rPr>
        <w:t>-Lowell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lastRenderedPageBreak/>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2960F8"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lastRenderedPageBreak/>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lastRenderedPageBreak/>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lastRenderedPageBreak/>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lastRenderedPageBreak/>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1"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D30399">
        <w:rPr>
          <w:rFonts w:ascii="Cambria Math" w:eastAsia="Georgia" w:hAnsi="Cambria Math" w:cs="Calibri"/>
          <w:sz w:val="22"/>
          <w:szCs w:val="22"/>
          <w:lang w:val="en-US"/>
        </w:rPr>
        <w:lastRenderedPageBreak/>
        <w:t>Nazier</w:t>
      </w:r>
      <w:proofErr w:type="spellEnd"/>
      <w:r w:rsidRPr="00D30399">
        <w:rPr>
          <w:rFonts w:ascii="Cambria Math" w:eastAsia="Georgia" w:hAnsi="Cambria Math" w:cs="Calibri"/>
          <w:sz w:val="22"/>
          <w:szCs w:val="22"/>
          <w:lang w:val="en-US"/>
        </w:rPr>
        <w:t xml:space="preserve">,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proofErr w:type="spellStart"/>
      <w:r w:rsidRPr="00496FED">
        <w:rPr>
          <w:rFonts w:ascii="Cambria Math" w:hAnsi="Cambria Math"/>
          <w:sz w:val="22"/>
          <w:szCs w:val="22"/>
          <w:lang w:val="en-US"/>
        </w:rPr>
        <w:t>Loayza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372DC" w14:textId="77777777" w:rsidR="00602977" w:rsidRDefault="00602977">
      <w:r>
        <w:separator/>
      </w:r>
    </w:p>
  </w:endnote>
  <w:endnote w:type="continuationSeparator" w:id="0">
    <w:p w14:paraId="00F3034A" w14:textId="77777777" w:rsidR="00602977" w:rsidRDefault="00602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0F07" w14:textId="77777777" w:rsidR="00602977" w:rsidRDefault="00602977">
      <w:r>
        <w:separator/>
      </w:r>
    </w:p>
  </w:footnote>
  <w:footnote w:type="continuationSeparator" w:id="0">
    <w:p w14:paraId="15522E85" w14:textId="77777777" w:rsidR="00602977" w:rsidRDefault="00602977">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960F8"/>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B0D21"/>
    <w:rsid w:val="005B5597"/>
    <w:rsid w:val="005B7CE1"/>
    <w:rsid w:val="005C2370"/>
    <w:rsid w:val="005D0DC3"/>
    <w:rsid w:val="005F21EC"/>
    <w:rsid w:val="00602977"/>
    <w:rsid w:val="006119EE"/>
    <w:rsid w:val="0061571C"/>
    <w:rsid w:val="00622311"/>
    <w:rsid w:val="006370BE"/>
    <w:rsid w:val="00663106"/>
    <w:rsid w:val="006B0470"/>
    <w:rsid w:val="006C0B91"/>
    <w:rsid w:val="00717D36"/>
    <w:rsid w:val="00727552"/>
    <w:rsid w:val="00733054"/>
    <w:rsid w:val="007413CE"/>
    <w:rsid w:val="00746FEB"/>
    <w:rsid w:val="00767463"/>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9E40D5"/>
    <w:rsid w:val="00A06C99"/>
    <w:rsid w:val="00A34DA2"/>
    <w:rsid w:val="00A6664B"/>
    <w:rsid w:val="00A80E72"/>
    <w:rsid w:val="00A9318F"/>
    <w:rsid w:val="00A94D01"/>
    <w:rsid w:val="00AC74A5"/>
    <w:rsid w:val="00AD178F"/>
    <w:rsid w:val="00AD7DDB"/>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6148A"/>
    <w:rsid w:val="00C704A0"/>
    <w:rsid w:val="00C830A3"/>
    <w:rsid w:val="00C8441A"/>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EF4A69"/>
    <w:rsid w:val="00F0009F"/>
    <w:rsid w:val="00F06FED"/>
    <w:rsid w:val="00F125FC"/>
    <w:rsid w:val="00F45C66"/>
    <w:rsid w:val="00F472E2"/>
    <w:rsid w:val="00F64D7B"/>
    <w:rsid w:val="00F72DDF"/>
    <w:rsid w:val="00F7739B"/>
    <w:rsid w:val="00FB6C4E"/>
    <w:rsid w:val="00FB7FD2"/>
    <w:rsid w:val="00FC06FC"/>
    <w:rsid w:val="00FC612E"/>
    <w:rsid w:val="00FF55F9"/>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7815</Words>
  <Characters>42983</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Celin Hernández</cp:lastModifiedBy>
  <cp:revision>22</cp:revision>
  <cp:lastPrinted>2023-09-18T05:37:00Z</cp:lastPrinted>
  <dcterms:created xsi:type="dcterms:W3CDTF">2023-09-18T04:45:00Z</dcterms:created>
  <dcterms:modified xsi:type="dcterms:W3CDTF">2023-09-18T19:30:00Z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