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2CA830AC"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245EE588"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Default="00F472E2" w:rsidP="00F472E2">
      <w:pPr>
        <w:tabs>
          <w:tab w:val="left" w:pos="706"/>
        </w:tabs>
        <w:spacing w:line="252" w:lineRule="auto"/>
        <w:ind w:right="82"/>
        <w:rPr>
          <w:rFonts w:ascii="Cambria Math" w:hAnsi="Cambria Math"/>
          <w:b/>
          <w:bCs/>
          <w:sz w:val="24"/>
          <w:szCs w:val="24"/>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3B405D">
        <w:rPr>
          <w:rFonts w:ascii="Cambria Math" w:hAnsi="Cambria Math"/>
          <w:lang w:val="es-HN"/>
        </w:rPr>
        <w:t>Data.</w:t>
      </w:r>
      <w:r w:rsidR="002533A8" w:rsidRPr="00F472E2">
        <w:rPr>
          <w:rFonts w:ascii="Cambria Math" w:hAnsi="Cambria Math"/>
          <w:vertAlign w:val="superscript"/>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r w:rsidR="00F472E2" w:rsidRPr="003B405D">
        <w:rPr>
          <w:rFonts w:ascii="Cambria Math" w:hAnsi="Cambria Math"/>
          <w:lang w:val="es-HN"/>
        </w:rPr>
        <w:t>Bogotá</w:t>
      </w:r>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D7263E">
        <w:rPr>
          <w:rFonts w:ascii="Cambria Math" w:hAnsi="Cambria Math"/>
          <w:lang w:val="es-HN"/>
        </w:rPr>
        <w:t xml:space="preserve"> </w:t>
      </w:r>
      <w:proofErr w:type="spellStart"/>
      <w:r w:rsidRPr="00D7263E">
        <w:rPr>
          <w:rFonts w:ascii="Cambria Math" w:hAnsi="Cambria Math"/>
          <w:lang w:val="es-HN"/>
        </w:rPr>
        <w:t>Report</w:t>
      </w:r>
      <w:proofErr w:type="spellEnd"/>
      <w:r w:rsidRPr="00D7263E">
        <w:rPr>
          <w:rFonts w:ascii="Cambria Math" w:hAnsi="Cambria Math"/>
          <w:lang w:val="es-HN"/>
        </w:rPr>
        <w:t xml:space="preserve">” </w:t>
      </w:r>
      <w:proofErr w:type="spellStart"/>
      <w:r w:rsidRPr="00D7263E">
        <w:rPr>
          <w:rFonts w:ascii="Cambria Math" w:hAnsi="Cambria Math"/>
          <w:lang w:val="es-HN"/>
        </w:rPr>
        <w:t>that</w:t>
      </w:r>
      <w:proofErr w:type="spellEnd"/>
      <w:r w:rsidRPr="00D7263E">
        <w:rPr>
          <w:rFonts w:ascii="Cambria Math" w:hAnsi="Cambria Math"/>
          <w:lang w:val="es-HN"/>
        </w:rPr>
        <w:t xml:space="preserve"> </w:t>
      </w:r>
      <w:proofErr w:type="spellStart"/>
      <w:r w:rsidRPr="00D7263E">
        <w:rPr>
          <w:rFonts w:ascii="Cambria Math" w:hAnsi="Cambria Math"/>
          <w:lang w:val="es-HN"/>
        </w:rPr>
        <w:t>takes</w:t>
      </w:r>
      <w:proofErr w:type="spellEnd"/>
      <w:r w:rsidRPr="00D7263E">
        <w:rPr>
          <w:rFonts w:ascii="Cambria Math" w:hAnsi="Cambria Math"/>
          <w:lang w:val="es-HN"/>
        </w:rPr>
        <w:t xml:space="preserve"> </w:t>
      </w:r>
      <w:proofErr w:type="spellStart"/>
      <w:r w:rsidRPr="00D7263E">
        <w:rPr>
          <w:rFonts w:ascii="Cambria Math" w:hAnsi="Cambria Math"/>
          <w:lang w:val="es-HN"/>
        </w:rPr>
        <w:t>information</w:t>
      </w:r>
      <w:proofErr w:type="spellEnd"/>
      <w:r w:rsidRPr="00D7263E">
        <w:rPr>
          <w:rFonts w:ascii="Cambria Math" w:hAnsi="Cambria Math"/>
          <w:lang w:val="es-HN"/>
        </w:rPr>
        <w:t xml:space="preserve"> </w:t>
      </w:r>
      <w:proofErr w:type="spellStart"/>
      <w:r w:rsidRPr="00D7263E">
        <w:rPr>
          <w:rFonts w:ascii="Cambria Math" w:hAnsi="Cambria Math"/>
          <w:lang w:val="es-HN"/>
        </w:rPr>
        <w:t>from</w:t>
      </w:r>
      <w:proofErr w:type="spellEnd"/>
      <w:r w:rsidRPr="00D7263E">
        <w:rPr>
          <w:rFonts w:ascii="Cambria Math" w:hAnsi="Cambria Math"/>
          <w:lang w:val="es-HN"/>
        </w:rPr>
        <w:t xml:space="preserve"> </w:t>
      </w:r>
      <w:proofErr w:type="spellStart"/>
      <w:r w:rsidRPr="00D7263E">
        <w:rPr>
          <w:rFonts w:ascii="Cambria Math" w:hAnsi="Cambria Math"/>
          <w:lang w:val="es-HN"/>
        </w:rPr>
        <w:t>the</w:t>
      </w:r>
      <w:proofErr w:type="spellEnd"/>
      <w:r w:rsidRPr="00D7263E">
        <w:rPr>
          <w:rFonts w:ascii="Cambria Math" w:hAnsi="Cambria Math"/>
          <w:lang w:val="es-HN"/>
        </w:rPr>
        <w:t xml:space="preserv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D7263E" w:rsidRDefault="00E0373B" w:rsidP="00A9318F">
      <w:pPr>
        <w:pStyle w:val="Prrafodelista"/>
        <w:ind w:left="0" w:right="82" w:firstLine="0"/>
        <w:rPr>
          <w:rFonts w:ascii="Cambria Math" w:hAnsi="Cambria Math"/>
          <w:color w:val="000000"/>
          <w:lang w:val="es-HN"/>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D7263E">
        <w:rPr>
          <w:rFonts w:ascii="Cambria Math" w:hAnsi="Cambria Math"/>
          <w:color w:val="000000"/>
          <w:sz w:val="22"/>
          <w:szCs w:val="22"/>
          <w:lang w:val="es-HN"/>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D7263E">
        <w:rPr>
          <w:rFonts w:ascii="Cambria Math" w:hAnsi="Cambria Math"/>
          <w:color w:val="000000"/>
          <w:sz w:val="22"/>
          <w:szCs w:val="22"/>
          <w:lang w:val="es-HN"/>
        </w:rPr>
        <w:t>To obtain the data, you must scrape the website.</w:t>
      </w:r>
      <w:r w:rsidR="00187852" w:rsidRPr="00D7263E">
        <w:rPr>
          <w:rFonts w:ascii="Cambria Math" w:hAnsi="Cambria Math"/>
          <w:color w:val="000000"/>
          <w:sz w:val="22"/>
          <w:szCs w:val="22"/>
          <w:lang w:val="es-HN"/>
        </w:rPr>
        <w:t xml:space="preserve"> </w:t>
      </w:r>
      <w:r w:rsidRPr="00D7263E">
        <w:rPr>
          <w:rFonts w:ascii="Cambria Math" w:hAnsi="Cambria Math"/>
          <w:color w:val="000000"/>
          <w:sz w:val="22"/>
          <w:szCs w:val="22"/>
          <w:lang w:val="es-HN"/>
        </w:rPr>
        <w:t>In this problem set, we will focus only on employed individuals older than eighteen</w:t>
      </w:r>
      <w:r w:rsidR="00382B57" w:rsidRPr="00D7263E">
        <w:rPr>
          <w:rFonts w:ascii="Cambria Math" w:hAnsi="Cambria Math"/>
          <w:color w:val="000000"/>
          <w:sz w:val="22"/>
          <w:szCs w:val="22"/>
          <w:lang w:val="es-HN"/>
        </w:rPr>
        <w:t xml:space="preserve"> (18) </w:t>
      </w:r>
      <w:r w:rsidRPr="00D7263E">
        <w:rPr>
          <w:rFonts w:ascii="Cambria Math" w:hAnsi="Cambria Math"/>
          <w:color w:val="000000"/>
          <w:sz w:val="22"/>
          <w:szCs w:val="22"/>
          <w:lang w:val="es-HN"/>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D7263E" w:rsidRDefault="00186E9D" w:rsidP="00F472E2">
      <w:pPr>
        <w:pStyle w:val="Prrafodelista"/>
        <w:tabs>
          <w:tab w:val="left" w:pos="426"/>
        </w:tabs>
        <w:spacing w:line="254" w:lineRule="auto"/>
        <w:ind w:left="0" w:right="82" w:firstLine="0"/>
        <w:rPr>
          <w:rFonts w:ascii="Cambria Math" w:hAnsi="Cambria Math"/>
          <w:lang w:val="es-HN"/>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de </w:t>
      </w:r>
      <w:r w:rsidRPr="003B405D">
        <w:rPr>
          <w:rFonts w:ascii="Cambria Math" w:hAnsi="Cambria Math"/>
          <w:lang w:val="es-HN"/>
        </w:rPr>
        <w:lastRenderedPageBreak/>
        <w:t>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274E1724"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20" w:history="1">
        <w:proofErr w:type="spellStart"/>
        <w:r w:rsidR="00F472E2" w:rsidRPr="0018463D">
          <w:rPr>
            <w:rStyle w:val="Hipervnculo"/>
            <w:rFonts w:ascii="Cambria Math" w:hAnsi="Cambria Math"/>
            <w:lang w:val="es-HN"/>
          </w:rPr>
          <w:t>Mincer</w:t>
        </w:r>
        <w:proofErr w:type="spellEnd"/>
        <w:r w:rsidR="00F472E2">
          <w:rPr>
            <w:rStyle w:val="Hipervnculo"/>
            <w:rFonts w:ascii="Cambria Math" w:hAnsi="Cambria Math"/>
            <w:lang w:val="es-HN"/>
          </w:rPr>
          <w:t xml:space="preserve"> (</w:t>
        </w:r>
        <w:r w:rsidR="00F472E2" w:rsidRPr="0018463D">
          <w:rPr>
            <w:rStyle w:val="Hipervnculo"/>
            <w:rFonts w:ascii="Cambria Math" w:hAnsi="Cambria Math"/>
            <w:lang w:val="es-HN"/>
          </w:rPr>
          <w:t>1974</w:t>
        </w:r>
      </w:hyperlink>
      <w:r w:rsidR="00F472E2">
        <w:rPr>
          <w:rStyle w:val="Hipervnculo"/>
          <w:rFonts w:ascii="Cambria Math" w:hAnsi="Cambria Math"/>
          <w:lang w:val="es-HN"/>
        </w:rPr>
        <w:t>)</w:t>
      </w:r>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xml:space="preserve">, et </w:t>
        </w:r>
        <w:proofErr w:type="spellStart"/>
        <w:r w:rsidRPr="002B26AF">
          <w:rPr>
            <w:rStyle w:val="Hipervnculo"/>
            <w:rFonts w:ascii="Cambria Math" w:hAnsi="Cambria Math"/>
            <w:lang w:val="es-HN"/>
          </w:rPr>
          <w:t>all</w:t>
        </w:r>
        <w:proofErr w:type="spellEnd"/>
        <w:r w:rsidRPr="002B26AF">
          <w:rPr>
            <w:rStyle w:val="Hipervnculo"/>
            <w:rFonts w:ascii="Cambria Math" w:hAnsi="Cambria Math"/>
            <w:lang w:val="es-HN"/>
          </w:rPr>
          <w:t xml:space="preserve">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Proceso</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Adquisición</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los</w:t>
      </w:r>
      <w:proofErr w:type="spellEnd"/>
      <w:r w:rsidRPr="00F472E2">
        <w:rPr>
          <w:rFonts w:ascii="Cambria Math" w:hAnsi="Cambria Math"/>
          <w:b/>
          <w:bCs/>
          <w:sz w:val="24"/>
          <w:szCs w:val="24"/>
        </w:rPr>
        <w:t xml:space="preserve"> </w:t>
      </w:r>
      <w:proofErr w:type="spellStart"/>
      <w:r w:rsidRPr="00F472E2">
        <w:rPr>
          <w:rFonts w:ascii="Cambria Math" w:hAnsi="Cambria Math"/>
          <w:b/>
          <w:bCs/>
          <w:sz w:val="24"/>
          <w:szCs w:val="24"/>
        </w:rPr>
        <w:t>datos</w:t>
      </w:r>
      <w:proofErr w:type="spellEnd"/>
    </w:p>
    <w:p w14:paraId="3F92C59A" w14:textId="77777777" w:rsidR="00F472E2" w:rsidRPr="00F472E2" w:rsidRDefault="00F472E2" w:rsidP="00F472E2">
      <w:pPr>
        <w:pStyle w:val="Prrafodelista"/>
        <w:tabs>
          <w:tab w:val="left" w:pos="706"/>
        </w:tabs>
        <w:spacing w:line="252" w:lineRule="auto"/>
        <w:ind w:left="720" w:right="82" w:firstLine="0"/>
        <w:rPr>
          <w:rFonts w:ascii="Cambria Math" w:hAnsi="Cambria Math"/>
          <w:b/>
          <w:bCs/>
          <w:sz w:val="24"/>
          <w:szCs w:val="24"/>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Proceso</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Limpieza</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los</w:t>
      </w:r>
      <w:proofErr w:type="spellEnd"/>
      <w:r w:rsidRPr="00F472E2">
        <w:rPr>
          <w:rFonts w:ascii="Cambria Math" w:hAnsi="Cambria Math"/>
          <w:b/>
          <w:bCs/>
          <w:sz w:val="24"/>
          <w:szCs w:val="24"/>
        </w:rPr>
        <w:t xml:space="preserve"> </w:t>
      </w:r>
      <w:proofErr w:type="spellStart"/>
      <w:r w:rsidRPr="00F472E2">
        <w:rPr>
          <w:rFonts w:ascii="Cambria Math" w:hAnsi="Cambria Math"/>
          <w:b/>
          <w:bCs/>
          <w:sz w:val="24"/>
          <w:szCs w:val="24"/>
        </w:rPr>
        <w:t>datos</w:t>
      </w:r>
      <w:proofErr w:type="spellEnd"/>
    </w:p>
    <w:p w14:paraId="3A9CECF3" w14:textId="77777777" w:rsidR="00F472E2" w:rsidRPr="00F472E2" w:rsidRDefault="00F472E2" w:rsidP="00481226">
      <w:pPr>
        <w:pStyle w:val="Prrafodelista"/>
        <w:tabs>
          <w:tab w:val="left" w:pos="706"/>
        </w:tabs>
        <w:ind w:left="720" w:right="82" w:firstLine="0"/>
        <w:rPr>
          <w:rFonts w:ascii="Cambria Math" w:hAnsi="Cambria Math"/>
          <w:b/>
          <w:bCs/>
          <w:sz w:val="24"/>
          <w:szCs w:val="24"/>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977C45" w:rsidRDefault="00977C45" w:rsidP="00977C45">
      <w:pPr>
        <w:pStyle w:val="Prrafodelista"/>
        <w:tabs>
          <w:tab w:val="left" w:pos="706"/>
        </w:tabs>
        <w:ind w:left="720" w:right="82" w:firstLine="0"/>
        <w:rPr>
          <w:rFonts w:ascii="Cambria Math" w:hAnsi="Cambria Math"/>
          <w:b/>
          <w:bCs/>
          <w:sz w:val="24"/>
          <w:szCs w:val="24"/>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sexo, estrato, nivel educativo, entre otros. Al observar los ingresos promedios, un aspecto a destacar es que </w:t>
      </w:r>
      <w:r w:rsidR="00DF49FB">
        <w:rPr>
          <w:rFonts w:ascii="Cambria Math" w:hAnsi="Cambria Math"/>
          <w:w w:val="95"/>
          <w:lang w:val="es-HN"/>
        </w:rPr>
        <w:lastRenderedPageBreak/>
        <w:t>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 xml:space="preserve">un 70.3% se concentró en </w:t>
      </w:r>
      <w:r w:rsidR="00E318CA">
        <w:rPr>
          <w:rFonts w:ascii="Cambria Math" w:hAnsi="Cambria Math"/>
          <w:lang w:val="es-HN"/>
        </w:rPr>
        <w:lastRenderedPageBreak/>
        <w:t>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Default="009D6D20" w:rsidP="00C704A0">
      <w:pPr>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w:lastRenderedPageBreak/>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04782026" w:rsidR="00902F1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F76001D" w14:textId="3CEF15C1" w:rsidR="00C2558B" w:rsidRDefault="00C2558B" w:rsidP="00733054">
      <w:pPr>
        <w:ind w:right="82"/>
        <w:jc w:val="both"/>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w:lastRenderedPageBreak/>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Default="00000000" w:rsidP="009D6D20">
      <w:pPr>
        <w:pStyle w:val="Prrafodelista"/>
        <w:numPr>
          <w:ilvl w:val="2"/>
          <w:numId w:val="6"/>
        </w:numPr>
        <w:tabs>
          <w:tab w:val="left" w:pos="284"/>
        </w:tabs>
        <w:spacing w:line="247" w:lineRule="auto"/>
        <w:ind w:left="284" w:right="82" w:hanging="284"/>
        <w:rPr>
          <w:rFonts w:ascii="Cambria Math" w:hAnsi="Cambria Math"/>
          <w:lang w:val="es-HN"/>
        </w:rPr>
      </w:pPr>
      <w:r w:rsidRPr="009D6D20">
        <w:rPr>
          <w:rFonts w:ascii="Cambria Math" w:hAnsi="Cambria Math"/>
          <w:lang w:val="es-HN"/>
        </w:rPr>
        <w:t>Age-wage profile. A great deal of evidence in Labor economics suggests that the typical worker’s age-wage profile has a predictable path: “Wages tend to be low when the worker is young; they rise as the worker</w:t>
      </w:r>
      <w:r w:rsidR="009D6D20" w:rsidRPr="009D6D20">
        <w:rPr>
          <w:rFonts w:ascii="Cambria Math" w:hAnsi="Cambria Math"/>
          <w:lang w:val="es-HN"/>
        </w:rPr>
        <w:t xml:space="preserve"> </w:t>
      </w:r>
      <w:r w:rsidRPr="009D6D20">
        <w:rPr>
          <w:rFonts w:ascii="Cambria Math" w:hAnsi="Cambria Math"/>
          <w:lang w:val="es-HN"/>
        </w:rPr>
        <w:t xml:space="preserve">ages, peaking at about age 50; and the wage rate </w:t>
      </w:r>
      <w:proofErr w:type="spellStart"/>
      <w:r w:rsidRPr="009D6D20">
        <w:rPr>
          <w:rFonts w:ascii="Cambria Math" w:hAnsi="Cambria Math"/>
          <w:lang w:val="es-HN"/>
        </w:rPr>
        <w:t>tends</w:t>
      </w:r>
      <w:proofErr w:type="spellEnd"/>
      <w:r w:rsidRPr="009D6D20">
        <w:rPr>
          <w:rFonts w:ascii="Cambria Math" w:hAnsi="Cambria Math"/>
          <w:lang w:val="es-HN"/>
        </w:rPr>
        <w:t xml:space="preserve"> </w:t>
      </w:r>
      <w:proofErr w:type="spellStart"/>
      <w:r w:rsidRPr="009D6D20">
        <w:rPr>
          <w:rFonts w:ascii="Cambria Math" w:hAnsi="Cambria Math"/>
          <w:lang w:val="es-HN"/>
        </w:rPr>
        <w:t>to</w:t>
      </w:r>
      <w:proofErr w:type="spellEnd"/>
      <w:r w:rsidRPr="009D6D20">
        <w:rPr>
          <w:rFonts w:ascii="Cambria Math" w:hAnsi="Cambria Math"/>
          <w:lang w:val="es-HN"/>
        </w:rPr>
        <w:t xml:space="preserve"> </w:t>
      </w:r>
      <w:proofErr w:type="spellStart"/>
      <w:r w:rsidRPr="009D6D20">
        <w:rPr>
          <w:rFonts w:ascii="Cambria Math" w:hAnsi="Cambria Math"/>
          <w:lang w:val="es-HN"/>
        </w:rPr>
        <w:t>remain</w:t>
      </w:r>
      <w:proofErr w:type="spellEnd"/>
      <w:r w:rsidRPr="009D6D20">
        <w:rPr>
          <w:rFonts w:ascii="Cambria Math" w:hAnsi="Cambria Math"/>
          <w:lang w:val="es-HN"/>
        </w:rPr>
        <w:t xml:space="preserve"> </w:t>
      </w:r>
      <w:proofErr w:type="spellStart"/>
      <w:r w:rsidRPr="009D6D20">
        <w:rPr>
          <w:rFonts w:ascii="Cambria Math" w:hAnsi="Cambria Math"/>
          <w:lang w:val="es-HN"/>
        </w:rPr>
        <w:t>stable</w:t>
      </w:r>
      <w:proofErr w:type="spellEnd"/>
      <w:r w:rsidRPr="009D6D20">
        <w:rPr>
          <w:rFonts w:ascii="Cambria Math" w:hAnsi="Cambria Math"/>
          <w:lang w:val="es-HN"/>
        </w:rPr>
        <w:t xml:space="preserve"> </w:t>
      </w:r>
      <w:proofErr w:type="spellStart"/>
      <w:r w:rsidRPr="009D6D20">
        <w:rPr>
          <w:rFonts w:ascii="Cambria Math" w:hAnsi="Cambria Math"/>
          <w:lang w:val="es-HN"/>
        </w:rPr>
        <w:t>or</w:t>
      </w:r>
      <w:proofErr w:type="spellEnd"/>
      <w:r w:rsidRPr="009D6D20">
        <w:rPr>
          <w:rFonts w:ascii="Cambria Math" w:hAnsi="Cambria Math"/>
          <w:lang w:val="es-HN"/>
        </w:rPr>
        <w:t xml:space="preserve"> decline </w:t>
      </w:r>
      <w:proofErr w:type="spellStart"/>
      <w:r w:rsidRPr="009D6D20">
        <w:rPr>
          <w:rFonts w:ascii="Cambria Math" w:hAnsi="Cambria Math"/>
          <w:lang w:val="es-HN"/>
        </w:rPr>
        <w:t>slightly</w:t>
      </w:r>
      <w:proofErr w:type="spellEnd"/>
      <w:r w:rsidRPr="009D6D20">
        <w:rPr>
          <w:rFonts w:ascii="Cambria Math" w:hAnsi="Cambria Math"/>
          <w:lang w:val="es-HN"/>
        </w:rPr>
        <w:t xml:space="preserve"> after </w:t>
      </w:r>
      <w:proofErr w:type="spellStart"/>
      <w:r w:rsidRPr="009D6D20">
        <w:rPr>
          <w:rFonts w:ascii="Cambria Math" w:hAnsi="Cambria Math"/>
          <w:lang w:val="es-HN"/>
        </w:rPr>
        <w:t>age</w:t>
      </w:r>
      <w:proofErr w:type="spellEnd"/>
      <w:r w:rsidRPr="009D6D20">
        <w:rPr>
          <w:rFonts w:ascii="Cambria Math" w:hAnsi="Cambria Math"/>
          <w:lang w:val="es-HN"/>
        </w:rPr>
        <w:t xml:space="preserve"> 50”.</w:t>
      </w:r>
    </w:p>
    <w:p w14:paraId="37BA14E6" w14:textId="77777777" w:rsidR="009D6D20" w:rsidRDefault="009D6D20" w:rsidP="009D6D20">
      <w:pPr>
        <w:pStyle w:val="Prrafodelista"/>
        <w:tabs>
          <w:tab w:val="left" w:pos="284"/>
        </w:tabs>
        <w:spacing w:line="247" w:lineRule="auto"/>
        <w:ind w:left="284" w:right="82" w:firstLine="0"/>
        <w:rPr>
          <w:rFonts w:ascii="Cambria Math" w:hAnsi="Cambria Math"/>
          <w:lang w:val="es-HN"/>
        </w:rPr>
      </w:pPr>
    </w:p>
    <w:p w14:paraId="2CC12075" w14:textId="68D46881" w:rsidR="00186E9D" w:rsidRPr="009D6D20" w:rsidRDefault="00000000" w:rsidP="009D6D20">
      <w:pPr>
        <w:pStyle w:val="Prrafodelista"/>
        <w:tabs>
          <w:tab w:val="left" w:pos="0"/>
        </w:tabs>
        <w:spacing w:line="247" w:lineRule="auto"/>
        <w:ind w:left="0" w:right="82" w:firstLine="0"/>
        <w:rPr>
          <w:rFonts w:ascii="Cambria Math" w:hAnsi="Cambria Math"/>
          <w:lang w:val="es-HN"/>
        </w:rPr>
      </w:pPr>
      <w:r w:rsidRPr="009D6D20">
        <w:rPr>
          <w:rFonts w:ascii="Cambria Math" w:hAnsi="Cambria Math"/>
          <w:lang w:val="es-HN"/>
        </w:rPr>
        <w:t xml:space="preserve">In </w:t>
      </w:r>
      <w:proofErr w:type="spellStart"/>
      <w:r w:rsidRPr="009D6D20">
        <w:rPr>
          <w:rFonts w:ascii="Cambria Math" w:hAnsi="Cambria Math"/>
          <w:lang w:val="es-HN"/>
        </w:rPr>
        <w:t>this</w:t>
      </w:r>
      <w:proofErr w:type="spellEnd"/>
      <w:r w:rsidRPr="009D6D20">
        <w:rPr>
          <w:rFonts w:ascii="Cambria Math" w:hAnsi="Cambria Math"/>
          <w:lang w:val="es-HN"/>
        </w:rPr>
        <w:t xml:space="preserve"> </w:t>
      </w:r>
      <w:proofErr w:type="spellStart"/>
      <w:r w:rsidRPr="009D6D20">
        <w:rPr>
          <w:rFonts w:ascii="Cambria Math" w:hAnsi="Cambria Math"/>
          <w:lang w:val="es-HN"/>
        </w:rPr>
        <w:t>subsection</w:t>
      </w:r>
      <w:proofErr w:type="spellEnd"/>
      <w:r w:rsidRPr="009D6D20">
        <w:rPr>
          <w:rFonts w:ascii="Cambria Math" w:hAnsi="Cambria Math"/>
          <w:lang w:val="es-HN"/>
        </w:rPr>
        <w:t xml:space="preserve"> </w:t>
      </w:r>
      <w:proofErr w:type="spellStart"/>
      <w:r w:rsidRPr="009D6D20">
        <w:rPr>
          <w:rFonts w:ascii="Cambria Math" w:hAnsi="Cambria Math"/>
          <w:lang w:val="es-HN"/>
        </w:rPr>
        <w:t>we</w:t>
      </w:r>
      <w:proofErr w:type="spellEnd"/>
      <w:r w:rsidRPr="009D6D20">
        <w:rPr>
          <w:rFonts w:ascii="Cambria Math" w:hAnsi="Cambria Math"/>
          <w:lang w:val="es-HN"/>
        </w:rPr>
        <w:t xml:space="preserve"> are going to </w:t>
      </w:r>
      <w:proofErr w:type="spellStart"/>
      <w:r w:rsidRPr="009D6D20">
        <w:rPr>
          <w:rFonts w:ascii="Cambria Math" w:hAnsi="Cambria Math"/>
          <w:lang w:val="es-HN"/>
        </w:rPr>
        <w:t>estimate</w:t>
      </w:r>
      <w:proofErr w:type="spellEnd"/>
      <w:r w:rsidRPr="009D6D20">
        <w:rPr>
          <w:rFonts w:ascii="Cambria Math" w:hAnsi="Cambria Math"/>
          <w:lang w:val="es-HN"/>
        </w:rPr>
        <w:t xml:space="preserve"> </w:t>
      </w:r>
      <w:proofErr w:type="spellStart"/>
      <w:r w:rsidRPr="009D6D20">
        <w:rPr>
          <w:rFonts w:ascii="Cambria Math" w:hAnsi="Cambria Math"/>
          <w:lang w:val="es-HN"/>
        </w:rPr>
        <w:t>the</w:t>
      </w:r>
      <w:proofErr w:type="spellEnd"/>
      <w:r w:rsidRPr="009D6D20">
        <w:rPr>
          <w:rFonts w:ascii="Cambria Math" w:hAnsi="Cambria Math"/>
          <w:lang w:val="es-HN"/>
        </w:rPr>
        <w:t xml:space="preserve"> Age-</w:t>
      </w:r>
      <w:proofErr w:type="spellStart"/>
      <w:r w:rsidRPr="009D6D20">
        <w:rPr>
          <w:rFonts w:ascii="Cambria Math" w:hAnsi="Cambria Math"/>
          <w:lang w:val="es-HN"/>
        </w:rPr>
        <w:t>wage</w:t>
      </w:r>
      <w:proofErr w:type="spellEnd"/>
      <w:r w:rsidRPr="009D6D20">
        <w:rPr>
          <w:rFonts w:ascii="Cambria Math" w:hAnsi="Cambria Math"/>
          <w:lang w:val="es-HN"/>
        </w:rPr>
        <w:t xml:space="preserve"> </w:t>
      </w:r>
      <w:proofErr w:type="spellStart"/>
      <w:r w:rsidRPr="009D6D20">
        <w:rPr>
          <w:rFonts w:ascii="Cambria Math" w:hAnsi="Cambria Math"/>
          <w:lang w:val="es-HN"/>
        </w:rPr>
        <w:t>profile</w:t>
      </w:r>
      <w:proofErr w:type="spellEnd"/>
      <w:r w:rsidRPr="009D6D20">
        <w:rPr>
          <w:rFonts w:ascii="Cambria Math" w:hAnsi="Cambria Math"/>
          <w:lang w:val="es-HN"/>
        </w:rPr>
        <w:t xml:space="preserve"> </w:t>
      </w:r>
      <w:proofErr w:type="spellStart"/>
      <w:r w:rsidRPr="009D6D20">
        <w:rPr>
          <w:rFonts w:ascii="Cambria Math" w:hAnsi="Cambria Math"/>
          <w:lang w:val="es-HN"/>
        </w:rPr>
        <w:t>for</w:t>
      </w:r>
      <w:proofErr w:type="spellEnd"/>
      <w:r w:rsidRPr="009D6D20">
        <w:rPr>
          <w:rFonts w:ascii="Cambria Math" w:hAnsi="Cambria Math"/>
          <w:lang w:val="es-HN"/>
        </w:rPr>
        <w:t xml:space="preserve"> </w:t>
      </w:r>
      <w:proofErr w:type="spellStart"/>
      <w:r w:rsidRPr="009D6D20">
        <w:rPr>
          <w:rFonts w:ascii="Cambria Math" w:hAnsi="Cambria Math"/>
          <w:lang w:val="es-HN"/>
        </w:rPr>
        <w:t>the</w:t>
      </w:r>
      <w:proofErr w:type="spellEnd"/>
      <w:r w:rsidRPr="009D6D20">
        <w:rPr>
          <w:rFonts w:ascii="Cambria Math" w:hAnsi="Cambria Math"/>
          <w:lang w:val="es-HN"/>
        </w:rPr>
        <w:t xml:space="preserve"> </w:t>
      </w:r>
      <w:proofErr w:type="spellStart"/>
      <w:r w:rsidRPr="009D6D20">
        <w:rPr>
          <w:rFonts w:ascii="Cambria Math" w:hAnsi="Cambria Math"/>
          <w:lang w:val="es-HN"/>
        </w:rPr>
        <w:t>individuals</w:t>
      </w:r>
      <w:proofErr w:type="spellEnd"/>
      <w:r w:rsidRPr="009D6D20">
        <w:rPr>
          <w:rFonts w:ascii="Cambria Math" w:hAnsi="Cambria Math"/>
          <w:lang w:val="es-HN"/>
        </w:rPr>
        <w:t xml:space="preserve"> in </w:t>
      </w:r>
      <w:proofErr w:type="spellStart"/>
      <w:r w:rsidRPr="009D6D20">
        <w:rPr>
          <w:rFonts w:ascii="Cambria Math" w:hAnsi="Cambria Math"/>
          <w:lang w:val="es-HN"/>
        </w:rPr>
        <w:t>this</w:t>
      </w:r>
      <w:proofErr w:type="spellEnd"/>
      <w:r w:rsidRPr="009D6D20">
        <w:rPr>
          <w:rFonts w:ascii="Cambria Math" w:hAnsi="Cambria Math"/>
          <w:lang w:val="es-HN"/>
        </w:rPr>
        <w:t xml:space="preserve"> </w:t>
      </w:r>
      <w:proofErr w:type="spellStart"/>
      <w:r w:rsidRPr="009D6D20">
        <w:rPr>
          <w:rFonts w:ascii="Cambria Math" w:hAnsi="Cambria Math"/>
          <w:lang w:val="es-HN"/>
        </w:rPr>
        <w:t>sample</w:t>
      </w:r>
      <w:proofErr w:type="spellEnd"/>
      <w:r w:rsidRPr="009D6D20">
        <w:rPr>
          <w:rFonts w:ascii="Cambria Math" w:hAnsi="Cambria Math"/>
          <w:lang w:val="es-HN"/>
        </w:rPr>
        <w:t>:</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w:t>
      </w:r>
      <w:r w:rsidRPr="00221B24">
        <w:rPr>
          <w:rFonts w:ascii="Cambria Math" w:hAnsi="Cambria Math"/>
          <w:lang w:val="es-HN"/>
        </w:rPr>
        <w:lastRenderedPageBreak/>
        <w:t>Por su parte, el valor de la constante revela que el salario promedio, independientemente de la edad, asciende a 1,684.13 pesos por hora de trabajo.</w:t>
      </w:r>
    </w:p>
    <w:p w14:paraId="46458D1A" w14:textId="75430937" w:rsidR="00221B24" w:rsidRPr="00221B24" w:rsidRDefault="00221B24" w:rsidP="00221B24">
      <w:pPr>
        <w:tabs>
          <w:tab w:val="left" w:pos="1221"/>
        </w:tabs>
        <w:spacing w:before="8"/>
        <w:rPr>
          <w:rFonts w:ascii="Cambria Math" w:hAnsi="Cambria Math"/>
          <w:w w:val="95"/>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221B24" w:rsidRDefault="00221B24" w:rsidP="00221B24">
      <w:pPr>
        <w:tabs>
          <w:tab w:val="left" w:pos="1221"/>
        </w:tabs>
        <w:spacing w:before="7"/>
        <w:rPr>
          <w:rFonts w:ascii="Cambria Math" w:hAnsi="Cambria Math"/>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r w:rsidRPr="00382B57">
        <w:rPr>
          <w:rFonts w:ascii="Cambria Math" w:hAnsi="Cambria Math"/>
          <w:spacing w:val="-1"/>
          <w:w w:val="95"/>
        </w:rPr>
        <w:t>it’s</w:t>
      </w:r>
      <w:proofErr w:type="spell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8516C9" w:rsidRDefault="00EA5708" w:rsidP="00EA5708">
      <w:pPr>
        <w:pStyle w:val="Textoindependiente"/>
        <w:spacing w:line="254" w:lineRule="auto"/>
        <w:ind w:right="278"/>
        <w:jc w:val="both"/>
        <w:rPr>
          <w:rFonts w:ascii="Cambria Math" w:hAnsi="Cambria Math"/>
          <w:sz w:val="22"/>
          <w:szCs w:val="22"/>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 xml:space="preserve">es de 0.001, lo que sugiere que solo alrededor del 0.01% de la variabilidad el salario por hora puede explicarse mediante la variable mujer. Esto indica que es </w:t>
      </w:r>
      <w:r w:rsidRPr="008516C9">
        <w:rPr>
          <w:rFonts w:ascii="Cambria Math" w:hAnsi="Cambria Math"/>
          <w:sz w:val="22"/>
          <w:szCs w:val="22"/>
          <w:lang w:val="es-HN"/>
        </w:rPr>
        <w:lastRenderedPageBreak/>
        <w:t>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EA5708" w:rsidRDefault="00EA5708" w:rsidP="00D231D1">
      <w:pPr>
        <w:pStyle w:val="Textoindependiente"/>
        <w:ind w:right="278"/>
        <w:jc w:val="both"/>
        <w:rPr>
          <w:rFonts w:ascii="Cambria Math" w:hAnsi="Cambria Math"/>
          <w:sz w:val="22"/>
          <w:szCs w:val="22"/>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D231D1">
        <w:rPr>
          <w:rFonts w:ascii="Cambria Math" w:hAnsi="Cambria Math"/>
          <w:lang w:val="es-HN"/>
        </w:rPr>
        <w:t>Equal Pay for Equal Work? A common slogan is</w:t>
      </w:r>
      <w:r w:rsidR="00AE76F7" w:rsidRPr="00D231D1">
        <w:rPr>
          <w:rFonts w:ascii="Cambria Math" w:hAnsi="Cambria Math"/>
          <w:lang w:val="es-HN"/>
        </w:rPr>
        <w:t xml:space="preserve"> </w:t>
      </w:r>
      <w:r w:rsidRPr="00D231D1">
        <w:rPr>
          <w:rFonts w:ascii="Cambria Math" w:hAnsi="Cambria Math"/>
          <w:lang w:val="es-HN"/>
        </w:rPr>
        <w:t>“equal pay for equal work”. One way to interpret this is that for employees with similar worker and job characteristics, no gender wage gap should exist. Estimate a conditional earnings gap incorporating control variables such as similar worker and job characteristics. In this section, estimate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lastRenderedPageBreak/>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26931BB1"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xml:space="preserve">. Sin embargo, llama la atención el comportamiento de las horas trabajadas, ya que contrariamente a lo esperado, muestran una reducción en el salario por hora a medida que aumentan las horas trabajadas. </w:t>
      </w:r>
    </w:p>
    <w:p w14:paraId="63102A59" w14:textId="3815650D" w:rsidR="00C2558B" w:rsidRDefault="00C2558B" w:rsidP="00C2558B">
      <w:pPr>
        <w:tabs>
          <w:tab w:val="left" w:pos="1659"/>
        </w:tabs>
        <w:spacing w:before="95"/>
        <w:ind w:right="366"/>
        <w:jc w:val="both"/>
        <w:rPr>
          <w:rFonts w:ascii="Cambria Math" w:hAnsi="Cambria Math"/>
          <w:lang w:val="es-HN"/>
        </w:rPr>
      </w:pPr>
      <w:r>
        <w:rPr>
          <w:rFonts w:ascii="Cambria Math" w:hAnsi="Cambria Math"/>
          <w:lang w:val="es-HN"/>
        </w:rPr>
        <w:t>Debido a est</w:t>
      </w:r>
      <w:r>
        <w:rPr>
          <w:rFonts w:ascii="Cambria Math" w:hAnsi="Cambria Math"/>
          <w:lang w:val="es-HN"/>
        </w:rPr>
        <w:t xml:space="preserve">a relación atípica entre las horas trabajas y los salarios reales por hora, </w:t>
      </w:r>
    </w:p>
    <w:p w14:paraId="56C999F8" w14:textId="2077C8F1" w:rsidR="00C2558B" w:rsidRDefault="00C2558B" w:rsidP="00231380">
      <w:pPr>
        <w:tabs>
          <w:tab w:val="left" w:pos="1659"/>
        </w:tabs>
        <w:spacing w:before="95"/>
        <w:ind w:right="366"/>
        <w:jc w:val="both"/>
        <w:rPr>
          <w:rFonts w:ascii="Cambria Math" w:hAnsi="Cambria Math"/>
          <w:lang w:val="es-HN"/>
        </w:rPr>
      </w:pPr>
    </w:p>
    <w:p w14:paraId="09A45F28" w14:textId="770AD539" w:rsidR="00C2558B" w:rsidRDefault="00C2558B" w:rsidP="00231380">
      <w:pPr>
        <w:tabs>
          <w:tab w:val="left" w:pos="1659"/>
        </w:tabs>
        <w:spacing w:before="95"/>
        <w:ind w:right="366"/>
        <w:jc w:val="both"/>
        <w:rPr>
          <w:rFonts w:ascii="Cambria Math" w:hAnsi="Cambria Math"/>
          <w:lang w:val="es-HN"/>
        </w:rPr>
      </w:pPr>
    </w:p>
    <w:p w14:paraId="03A0A8F9" w14:textId="2E6490B5" w:rsidR="00C2558B" w:rsidRDefault="00C2558B" w:rsidP="00231380">
      <w:pPr>
        <w:tabs>
          <w:tab w:val="left" w:pos="1659"/>
        </w:tabs>
        <w:spacing w:before="95"/>
        <w:ind w:right="366"/>
        <w:jc w:val="both"/>
        <w:rPr>
          <w:rFonts w:ascii="Cambria Math" w:hAnsi="Cambria Math"/>
          <w:lang w:val="es-HN"/>
        </w:rPr>
      </w:pPr>
      <w:r>
        <w:rPr>
          <w:noProof/>
        </w:rPr>
        <w:drawing>
          <wp:anchor distT="0" distB="0" distL="114300" distR="114300" simplePos="0" relativeHeight="487619072" behindDoc="0" locked="0" layoutInCell="1" allowOverlap="1" wp14:anchorId="56CC7FA2" wp14:editId="08BBCAB9">
            <wp:simplePos x="0" y="0"/>
            <wp:positionH relativeFrom="column">
              <wp:posOffset>-381000</wp:posOffset>
            </wp:positionH>
            <wp:positionV relativeFrom="paragraph">
              <wp:posOffset>93980</wp:posOffset>
            </wp:positionV>
            <wp:extent cx="6684010" cy="2518410"/>
            <wp:effectExtent l="0" t="0" r="254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84010" cy="2518410"/>
                    </a:xfrm>
                    <a:prstGeom prst="rect">
                      <a:avLst/>
                    </a:prstGeom>
                  </pic:spPr>
                </pic:pic>
              </a:graphicData>
            </a:graphic>
            <wp14:sizeRelH relativeFrom="page">
              <wp14:pctWidth>0</wp14:pctWidth>
            </wp14:sizeRelH>
            <wp14:sizeRelV relativeFrom="page">
              <wp14:pctHeight>0</wp14:pctHeight>
            </wp14:sizeRelV>
          </wp:anchor>
        </w:drawing>
      </w:r>
    </w:p>
    <w:p w14:paraId="359DBCA1" w14:textId="1058D64C" w:rsidR="00C2558B" w:rsidRDefault="00C2558B" w:rsidP="00231380">
      <w:pPr>
        <w:tabs>
          <w:tab w:val="left" w:pos="1659"/>
        </w:tabs>
        <w:spacing w:before="95"/>
        <w:ind w:right="366"/>
        <w:jc w:val="both"/>
        <w:rPr>
          <w:rFonts w:ascii="Cambria Math" w:hAnsi="Cambria Math"/>
          <w:lang w:val="es-HN"/>
        </w:rPr>
      </w:pPr>
    </w:p>
    <w:p w14:paraId="3B21D277" w14:textId="4DF5DBFE" w:rsidR="00C2558B" w:rsidRDefault="00C2558B" w:rsidP="00231380">
      <w:pPr>
        <w:tabs>
          <w:tab w:val="left" w:pos="1659"/>
        </w:tabs>
        <w:spacing w:before="95"/>
        <w:ind w:right="366"/>
        <w:jc w:val="both"/>
        <w:rPr>
          <w:rFonts w:ascii="Cambria Math" w:hAnsi="Cambria Math"/>
          <w:lang w:val="es-HN"/>
        </w:rPr>
      </w:pPr>
    </w:p>
    <w:p w14:paraId="6C0582ED" w14:textId="2A7CAE44" w:rsidR="00C2558B" w:rsidRDefault="00C2558B" w:rsidP="00231380">
      <w:pPr>
        <w:tabs>
          <w:tab w:val="left" w:pos="1659"/>
        </w:tabs>
        <w:spacing w:before="95"/>
        <w:ind w:right="366"/>
        <w:jc w:val="both"/>
        <w:rPr>
          <w:rFonts w:ascii="Cambria Math" w:hAnsi="Cambria Math"/>
          <w:lang w:val="es-HN"/>
        </w:rPr>
      </w:pPr>
    </w:p>
    <w:p w14:paraId="0C363D66" w14:textId="17DE2B9A" w:rsidR="00C2558B" w:rsidRDefault="00C2558B" w:rsidP="00231380">
      <w:pPr>
        <w:tabs>
          <w:tab w:val="left" w:pos="1659"/>
        </w:tabs>
        <w:spacing w:before="95"/>
        <w:ind w:right="366"/>
        <w:jc w:val="both"/>
        <w:rPr>
          <w:rFonts w:ascii="Cambria Math" w:hAnsi="Cambria Math"/>
          <w:lang w:val="es-HN"/>
        </w:rPr>
      </w:pPr>
    </w:p>
    <w:p w14:paraId="413B799A" w14:textId="21B4EDCD" w:rsidR="00C2558B" w:rsidRDefault="00C2558B" w:rsidP="00231380">
      <w:pPr>
        <w:tabs>
          <w:tab w:val="left" w:pos="1659"/>
        </w:tabs>
        <w:spacing w:before="95"/>
        <w:ind w:right="366"/>
        <w:jc w:val="both"/>
        <w:rPr>
          <w:rFonts w:ascii="Cambria Math" w:hAnsi="Cambria Math"/>
          <w:lang w:val="es-HN"/>
        </w:rPr>
      </w:pPr>
    </w:p>
    <w:p w14:paraId="351397AE" w14:textId="4BAECF9E" w:rsidR="00C2558B" w:rsidRDefault="00C2558B" w:rsidP="00231380">
      <w:pPr>
        <w:tabs>
          <w:tab w:val="left" w:pos="1659"/>
        </w:tabs>
        <w:spacing w:before="95"/>
        <w:ind w:right="366"/>
        <w:jc w:val="both"/>
        <w:rPr>
          <w:rFonts w:ascii="Cambria Math" w:hAnsi="Cambria Math"/>
          <w:lang w:val="es-HN"/>
        </w:rPr>
      </w:pPr>
    </w:p>
    <w:p w14:paraId="0C5FBF56" w14:textId="503BFF0A" w:rsidR="00C2558B" w:rsidRDefault="00C2558B" w:rsidP="00231380">
      <w:pPr>
        <w:tabs>
          <w:tab w:val="left" w:pos="1659"/>
        </w:tabs>
        <w:spacing w:before="95"/>
        <w:ind w:right="366"/>
        <w:jc w:val="both"/>
        <w:rPr>
          <w:rFonts w:ascii="Cambria Math" w:hAnsi="Cambria Math"/>
          <w:lang w:val="es-HN"/>
        </w:rPr>
      </w:pPr>
    </w:p>
    <w:p w14:paraId="28B3F056" w14:textId="77777777" w:rsidR="00C2558B" w:rsidRDefault="00C2558B" w:rsidP="00231380">
      <w:pPr>
        <w:tabs>
          <w:tab w:val="left" w:pos="1659"/>
        </w:tabs>
        <w:spacing w:before="95"/>
        <w:ind w:right="366"/>
        <w:jc w:val="both"/>
        <w:rPr>
          <w:rFonts w:ascii="Cambria Math" w:hAnsi="Cambria Math"/>
          <w:lang w:val="es-HN"/>
        </w:rPr>
      </w:pPr>
    </w:p>
    <w:p w14:paraId="44154407" w14:textId="4692D15E" w:rsidR="00C2558B" w:rsidRDefault="00C2558B" w:rsidP="00231380">
      <w:pPr>
        <w:tabs>
          <w:tab w:val="left" w:pos="1659"/>
        </w:tabs>
        <w:spacing w:before="95"/>
        <w:ind w:right="366"/>
        <w:jc w:val="both"/>
        <w:rPr>
          <w:rFonts w:ascii="Cambria Math" w:hAnsi="Cambria Math"/>
          <w:lang w:val="es-HN"/>
        </w:rPr>
      </w:pPr>
    </w:p>
    <w:p w14:paraId="749A1596" w14:textId="76071706" w:rsidR="00C2558B" w:rsidRDefault="00C2558B" w:rsidP="00231380">
      <w:pPr>
        <w:tabs>
          <w:tab w:val="left" w:pos="1659"/>
        </w:tabs>
        <w:spacing w:before="95"/>
        <w:ind w:right="366"/>
        <w:jc w:val="both"/>
        <w:rPr>
          <w:rFonts w:ascii="Cambria Math" w:hAnsi="Cambria Math"/>
          <w:lang w:val="es-HN"/>
        </w:rPr>
      </w:pPr>
    </w:p>
    <w:p w14:paraId="33C21780" w14:textId="38E7C5CD" w:rsidR="00C2558B" w:rsidRDefault="00C2558B" w:rsidP="00231380">
      <w:pPr>
        <w:tabs>
          <w:tab w:val="left" w:pos="1659"/>
        </w:tabs>
        <w:spacing w:before="95"/>
        <w:ind w:right="366"/>
        <w:jc w:val="both"/>
        <w:rPr>
          <w:rFonts w:ascii="Cambria Math" w:hAnsi="Cambria Math"/>
          <w:lang w:val="es-HN"/>
        </w:rPr>
      </w:pPr>
    </w:p>
    <w:p w14:paraId="4BB3D027" w14:textId="4C453A70" w:rsidR="00C2558B" w:rsidRDefault="00C2558B" w:rsidP="00231380">
      <w:pPr>
        <w:tabs>
          <w:tab w:val="left" w:pos="1659"/>
        </w:tabs>
        <w:spacing w:before="95"/>
        <w:ind w:right="366"/>
        <w:jc w:val="both"/>
        <w:rPr>
          <w:rFonts w:ascii="Cambria Math" w:hAnsi="Cambria Math"/>
          <w:lang w:val="es-HN"/>
        </w:rPr>
      </w:pPr>
    </w:p>
    <w:p w14:paraId="16DFC577" w14:textId="21A7137D" w:rsidR="00C2558B" w:rsidRDefault="00C2558B" w:rsidP="00231380">
      <w:pPr>
        <w:tabs>
          <w:tab w:val="left" w:pos="1659"/>
        </w:tabs>
        <w:spacing w:before="95"/>
        <w:ind w:right="366"/>
        <w:jc w:val="both"/>
        <w:rPr>
          <w:rFonts w:ascii="Cambria Math" w:hAnsi="Cambria Math"/>
          <w:lang w:val="es-HN"/>
        </w:rPr>
      </w:pPr>
    </w:p>
    <w:p w14:paraId="21A37129" w14:textId="77777777" w:rsidR="00C2558B" w:rsidRDefault="00C2558B" w:rsidP="00231380">
      <w:pPr>
        <w:tabs>
          <w:tab w:val="left" w:pos="1659"/>
        </w:tabs>
        <w:spacing w:before="95"/>
        <w:ind w:right="366"/>
        <w:jc w:val="both"/>
        <w:rPr>
          <w:rFonts w:ascii="Cambria Math" w:hAnsi="Cambria Math"/>
          <w:lang w:val="es-HN"/>
        </w:rPr>
      </w:pP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w:t>
      </w:r>
      <w:r w:rsidR="003721E5">
        <w:rPr>
          <w:rFonts w:ascii="Cambria Math" w:hAnsi="Cambria Math"/>
          <w:lang w:val="es-HN"/>
        </w:rPr>
        <w:lastRenderedPageBreak/>
        <w:t xml:space="preserve">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2C3D28" w:rsidRDefault="00000000" w:rsidP="002A1055">
      <w:pPr>
        <w:pStyle w:val="Prrafodelista"/>
        <w:numPr>
          <w:ilvl w:val="0"/>
          <w:numId w:val="12"/>
        </w:numPr>
        <w:tabs>
          <w:tab w:val="left" w:pos="1418"/>
        </w:tabs>
        <w:spacing w:before="66" w:line="254" w:lineRule="auto"/>
        <w:ind w:left="1560" w:right="278" w:hanging="567"/>
        <w:rPr>
          <w:rFonts w:ascii="Cambria Math" w:hAnsi="Cambria Math"/>
          <w:lang w:val="es-HN"/>
        </w:rPr>
      </w:pPr>
      <w:proofErr w:type="spellStart"/>
      <w:r w:rsidRPr="002C3D28">
        <w:rPr>
          <w:rFonts w:ascii="Cambria Math" w:hAnsi="Cambria Math"/>
          <w:lang w:val="es-HN"/>
        </w:rPr>
        <w:t>Second</w:t>
      </w:r>
      <w:proofErr w:type="spellEnd"/>
      <w:r w:rsidRPr="002C3D28">
        <w:rPr>
          <w:rFonts w:ascii="Cambria Math" w:hAnsi="Cambria Math"/>
          <w:lang w:val="es-HN"/>
        </w:rPr>
        <w:t xml:space="preserve">, </w:t>
      </w:r>
      <w:proofErr w:type="spellStart"/>
      <w:r w:rsidRPr="002C3D28">
        <w:rPr>
          <w:rFonts w:ascii="Cambria Math" w:hAnsi="Cambria Math"/>
          <w:lang w:val="es-HN"/>
        </w:rPr>
        <w:t>using</w:t>
      </w:r>
      <w:proofErr w:type="spellEnd"/>
      <w:r w:rsidRPr="002C3D28">
        <w:rPr>
          <w:rFonts w:ascii="Cambria Math" w:hAnsi="Cambria Math"/>
          <w:lang w:val="es-HN"/>
        </w:rPr>
        <w:t xml:space="preserve"> FWL </w:t>
      </w:r>
      <w:proofErr w:type="spellStart"/>
      <w:r w:rsidRPr="002C3D28">
        <w:rPr>
          <w:rFonts w:ascii="Cambria Math" w:hAnsi="Cambria Math"/>
          <w:lang w:val="es-HN"/>
        </w:rPr>
        <w:t>with</w:t>
      </w:r>
      <w:proofErr w:type="spellEnd"/>
      <w:r w:rsidRPr="002C3D28">
        <w:rPr>
          <w:rFonts w:ascii="Cambria Math" w:hAnsi="Cambria Math"/>
          <w:lang w:val="es-HN"/>
        </w:rPr>
        <w:t xml:space="preserve"> </w:t>
      </w:r>
      <w:proofErr w:type="spellStart"/>
      <w:r w:rsidRPr="002C3D28">
        <w:rPr>
          <w:rFonts w:ascii="Cambria Math" w:hAnsi="Cambria Math"/>
          <w:lang w:val="es-HN"/>
        </w:rPr>
        <w:t>boostrap</w:t>
      </w:r>
      <w:proofErr w:type="spellEnd"/>
      <w:r w:rsidRPr="002C3D28">
        <w:rPr>
          <w:rFonts w:ascii="Cambria Math" w:hAnsi="Cambria Math"/>
          <w:lang w:val="es-HN"/>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C901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Default="00A6664B" w:rsidP="00A6664B">
      <w:pPr>
        <w:tabs>
          <w:tab w:val="left" w:pos="1221"/>
        </w:tabs>
        <w:ind w:right="249"/>
        <w:jc w:val="both"/>
        <w:rPr>
          <w:rFonts w:ascii="Cambria" w:hAnsi="Cambria"/>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04AF9" w:rsidRDefault="00000000" w:rsidP="00A6664B">
      <w:pPr>
        <w:pStyle w:val="Prrafodelista"/>
        <w:numPr>
          <w:ilvl w:val="0"/>
          <w:numId w:val="11"/>
        </w:numPr>
        <w:tabs>
          <w:tab w:val="left" w:pos="1221"/>
        </w:tabs>
        <w:ind w:right="249"/>
        <w:rPr>
          <w:rFonts w:ascii="Cambria Math" w:hAnsi="Cambria Math"/>
          <w:lang w:val="es-HN"/>
        </w:rPr>
      </w:pPr>
      <w:r w:rsidRPr="00404AF9">
        <w:rPr>
          <w:rFonts w:ascii="Cambria Math" w:hAnsi="Cambria Math"/>
          <w:lang w:val="es-HN"/>
        </w:rPr>
        <w:t xml:space="preserve">Next, </w:t>
      </w:r>
      <w:proofErr w:type="spellStart"/>
      <w:r w:rsidRPr="00404AF9">
        <w:rPr>
          <w:rFonts w:ascii="Cambria Math" w:hAnsi="Cambria Math"/>
          <w:lang w:val="es-HN"/>
        </w:rPr>
        <w:t>plot</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predicted</w:t>
      </w:r>
      <w:proofErr w:type="spellEnd"/>
      <w:r w:rsidRPr="00404AF9">
        <w:rPr>
          <w:rFonts w:ascii="Cambria Math" w:hAnsi="Cambria Math"/>
          <w:lang w:val="es-HN"/>
        </w:rPr>
        <w:t xml:space="preserve"> </w:t>
      </w:r>
      <w:proofErr w:type="spellStart"/>
      <w:r w:rsidRPr="00404AF9">
        <w:rPr>
          <w:rFonts w:ascii="Cambria Math" w:hAnsi="Cambria Math"/>
          <w:lang w:val="es-HN"/>
        </w:rPr>
        <w:t>age-wage</w:t>
      </w:r>
      <w:proofErr w:type="spellEnd"/>
      <w:r w:rsidRPr="00404AF9">
        <w:rPr>
          <w:rFonts w:ascii="Cambria Math" w:hAnsi="Cambria Math"/>
          <w:lang w:val="es-HN"/>
        </w:rPr>
        <w:t xml:space="preserve"> </w:t>
      </w:r>
      <w:proofErr w:type="spellStart"/>
      <w:r w:rsidRPr="00404AF9">
        <w:rPr>
          <w:rFonts w:ascii="Cambria Math" w:hAnsi="Cambria Math"/>
          <w:lang w:val="es-HN"/>
        </w:rPr>
        <w:t>profile</w:t>
      </w:r>
      <w:proofErr w:type="spellEnd"/>
      <w:r w:rsidRPr="00404AF9">
        <w:rPr>
          <w:rFonts w:ascii="Cambria Math" w:hAnsi="Cambria Math"/>
          <w:lang w:val="es-HN"/>
        </w:rPr>
        <w:t xml:space="preserve"> and </w:t>
      </w:r>
      <w:proofErr w:type="spellStart"/>
      <w:r w:rsidRPr="00404AF9">
        <w:rPr>
          <w:rFonts w:ascii="Cambria Math" w:hAnsi="Cambria Math"/>
          <w:lang w:val="es-HN"/>
        </w:rPr>
        <w:t>estimate</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implied</w:t>
      </w:r>
      <w:proofErr w:type="spellEnd"/>
      <w:r w:rsidRPr="00404AF9">
        <w:rPr>
          <w:rFonts w:ascii="Cambria Math" w:hAnsi="Cambria Math"/>
          <w:lang w:val="es-HN"/>
        </w:rPr>
        <w:t xml:space="preserve"> “</w:t>
      </w:r>
      <w:proofErr w:type="spellStart"/>
      <w:r w:rsidRPr="00404AF9">
        <w:rPr>
          <w:rFonts w:ascii="Cambria Math" w:hAnsi="Cambria Math"/>
          <w:lang w:val="es-HN"/>
        </w:rPr>
        <w:t>peak</w:t>
      </w:r>
      <w:proofErr w:type="spellEnd"/>
      <w:r w:rsidRPr="00404AF9">
        <w:rPr>
          <w:rFonts w:ascii="Cambria Math" w:hAnsi="Cambria Math"/>
          <w:lang w:val="es-HN"/>
        </w:rPr>
        <w:t xml:space="preserve"> </w:t>
      </w:r>
      <w:proofErr w:type="spellStart"/>
      <w:r w:rsidRPr="00404AF9">
        <w:rPr>
          <w:rFonts w:ascii="Cambria Math" w:hAnsi="Cambria Math"/>
          <w:lang w:val="es-HN"/>
        </w:rPr>
        <w:t>ages</w:t>
      </w:r>
      <w:proofErr w:type="spellEnd"/>
      <w:r w:rsidRPr="00404AF9">
        <w:rPr>
          <w:rFonts w:ascii="Cambria Math" w:hAnsi="Cambria Math"/>
          <w:lang w:val="es-HN"/>
        </w:rPr>
        <w:t xml:space="preserve">” </w:t>
      </w:r>
      <w:proofErr w:type="spellStart"/>
      <w:r w:rsidRPr="00404AF9">
        <w:rPr>
          <w:rFonts w:ascii="Cambria Math" w:hAnsi="Cambria Math"/>
          <w:lang w:val="es-HN"/>
        </w:rPr>
        <w:t>with</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respective </w:t>
      </w:r>
      <w:proofErr w:type="spellStart"/>
      <w:r w:rsidRPr="00404AF9">
        <w:rPr>
          <w:rFonts w:ascii="Cambria Math" w:hAnsi="Cambria Math"/>
          <w:lang w:val="es-HN"/>
        </w:rPr>
        <w:t>confidence</w:t>
      </w:r>
      <w:proofErr w:type="spellEnd"/>
      <w:r w:rsidRPr="00404AF9">
        <w:rPr>
          <w:rFonts w:ascii="Cambria Math" w:hAnsi="Cambria Math"/>
          <w:lang w:val="es-HN"/>
        </w:rPr>
        <w:t xml:space="preserve"> </w:t>
      </w:r>
      <w:proofErr w:type="spellStart"/>
      <w:r w:rsidRPr="00404AF9">
        <w:rPr>
          <w:rFonts w:ascii="Cambria Math" w:hAnsi="Cambria Math"/>
          <w:lang w:val="es-HN"/>
        </w:rPr>
        <w:t>intervals</w:t>
      </w:r>
      <w:proofErr w:type="spellEnd"/>
      <w:r w:rsidRPr="00404AF9">
        <w:rPr>
          <w:rFonts w:ascii="Cambria Math" w:hAnsi="Cambria Math"/>
          <w:lang w:val="es-HN"/>
        </w:rPr>
        <w:t xml:space="preserve">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lastRenderedPageBreak/>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w:t>
      </w:r>
      <w:r w:rsidRPr="00D30399">
        <w:rPr>
          <w:rFonts w:ascii="Cambria Math" w:hAnsi="Cambria Math"/>
          <w:lang w:val="es-HN"/>
        </w:rPr>
        <w:lastRenderedPageBreak/>
        <w:t>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6"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Default="00C830A3">
      <w:pPr>
        <w:pStyle w:val="Textoindependiente"/>
        <w:ind w:left="705"/>
        <w:rPr>
          <w:rFonts w:ascii="Cambria Math" w:hAnsi="Cambria Math"/>
          <w:w w:val="95"/>
          <w:sz w:val="22"/>
          <w:szCs w:val="22"/>
        </w:rPr>
      </w:pPr>
    </w:p>
    <w:p w14:paraId="13F2F0C3" w14:textId="77777777" w:rsidR="00C830A3" w:rsidRDefault="00C830A3">
      <w:pPr>
        <w:pStyle w:val="Textoindependiente"/>
        <w:ind w:left="705"/>
        <w:rPr>
          <w:rFonts w:ascii="Cambria Math" w:hAnsi="Cambria Math"/>
          <w:w w:val="95"/>
          <w:sz w:val="22"/>
          <w:szCs w:val="22"/>
        </w:rPr>
      </w:pPr>
    </w:p>
    <w:p w14:paraId="45E5B122" w14:textId="36344F72" w:rsidR="00C830A3" w:rsidRDefault="00C830A3">
      <w:pPr>
        <w:pStyle w:val="Textoindependiente"/>
        <w:ind w:left="705"/>
        <w:rPr>
          <w:rFonts w:ascii="Cambria Math" w:hAnsi="Cambria Math"/>
          <w:w w:val="95"/>
          <w:sz w:val="22"/>
          <w:szCs w:val="22"/>
        </w:rPr>
      </w:pPr>
    </w:p>
    <w:p w14:paraId="0FD89080" w14:textId="1E17EED2" w:rsidR="00C830A3" w:rsidRDefault="00C830A3">
      <w:pPr>
        <w:pStyle w:val="Textoindependiente"/>
        <w:ind w:left="705"/>
        <w:rPr>
          <w:rFonts w:ascii="Cambria Math" w:hAnsi="Cambria Math"/>
          <w:w w:val="95"/>
          <w:sz w:val="22"/>
          <w:szCs w:val="22"/>
        </w:rPr>
      </w:pPr>
    </w:p>
    <w:p w14:paraId="1731A151" w14:textId="66066EA6" w:rsidR="00C830A3" w:rsidRDefault="00C830A3">
      <w:pPr>
        <w:pStyle w:val="Textoindependiente"/>
        <w:ind w:left="705"/>
        <w:rPr>
          <w:rFonts w:ascii="Cambria Math" w:hAnsi="Cambria Math"/>
          <w:w w:val="95"/>
          <w:sz w:val="22"/>
          <w:szCs w:val="22"/>
        </w:rPr>
      </w:pPr>
    </w:p>
    <w:p w14:paraId="1FCFC86C" w14:textId="77777777" w:rsidR="00C830A3" w:rsidRDefault="00C830A3">
      <w:pPr>
        <w:pStyle w:val="Textoindependiente"/>
        <w:ind w:left="705"/>
        <w:rPr>
          <w:rFonts w:ascii="Cambria Math" w:hAnsi="Cambria Math"/>
          <w:w w:val="95"/>
          <w:sz w:val="22"/>
          <w:szCs w:val="22"/>
        </w:rPr>
      </w:pPr>
    </w:p>
    <w:p w14:paraId="2050380B" w14:textId="77777777" w:rsidR="00C830A3" w:rsidRDefault="00C830A3">
      <w:pPr>
        <w:pStyle w:val="Textoindependiente"/>
        <w:ind w:left="705"/>
        <w:rPr>
          <w:rFonts w:ascii="Cambria Math" w:hAnsi="Cambria Math"/>
          <w:w w:val="95"/>
          <w:sz w:val="22"/>
          <w:szCs w:val="22"/>
        </w:rPr>
      </w:pPr>
    </w:p>
    <w:p w14:paraId="70F63F97" w14:textId="581B4EDF" w:rsidR="00C830A3" w:rsidRDefault="00C830A3">
      <w:pPr>
        <w:pStyle w:val="Textoindependiente"/>
        <w:ind w:left="705"/>
        <w:rPr>
          <w:rFonts w:ascii="Cambria Math" w:hAnsi="Cambria Math"/>
          <w:w w:val="95"/>
          <w:sz w:val="22"/>
          <w:szCs w:val="22"/>
        </w:rPr>
      </w:pPr>
    </w:p>
    <w:p w14:paraId="2AADB886" w14:textId="658CBBA7" w:rsidR="00C830A3" w:rsidRDefault="00C830A3">
      <w:pPr>
        <w:pStyle w:val="Textoindependiente"/>
        <w:ind w:left="705"/>
        <w:rPr>
          <w:rFonts w:ascii="Cambria Math" w:hAnsi="Cambria Math"/>
          <w:w w:val="95"/>
          <w:sz w:val="22"/>
          <w:szCs w:val="22"/>
        </w:rPr>
      </w:pPr>
    </w:p>
    <w:p w14:paraId="6307E0BD" w14:textId="590DA0AA" w:rsidR="00C830A3" w:rsidRDefault="00C830A3">
      <w:pPr>
        <w:pStyle w:val="Textoindependiente"/>
        <w:ind w:left="705"/>
        <w:rPr>
          <w:rFonts w:ascii="Cambria Math" w:hAnsi="Cambria Math"/>
          <w:w w:val="95"/>
          <w:sz w:val="22"/>
          <w:szCs w:val="22"/>
        </w:rPr>
      </w:pPr>
    </w:p>
    <w:p w14:paraId="7AD96ECC" w14:textId="027C8E89" w:rsidR="00C3503C" w:rsidRDefault="00C3503C">
      <w:pPr>
        <w:pStyle w:val="Textoindependiente"/>
        <w:ind w:left="705"/>
        <w:rPr>
          <w:rFonts w:ascii="Cambria Math" w:hAnsi="Cambria Math"/>
          <w:w w:val="95"/>
          <w:sz w:val="22"/>
          <w:szCs w:val="22"/>
        </w:rPr>
      </w:pPr>
    </w:p>
    <w:p w14:paraId="7F74CC26" w14:textId="3EC8B85B" w:rsidR="00C3503C" w:rsidRDefault="00C3503C">
      <w:pPr>
        <w:pStyle w:val="Textoindependiente"/>
        <w:ind w:left="705"/>
        <w:rPr>
          <w:rFonts w:ascii="Cambria Math" w:hAnsi="Cambria Math"/>
          <w:w w:val="95"/>
          <w:sz w:val="22"/>
          <w:szCs w:val="22"/>
        </w:rPr>
      </w:pPr>
    </w:p>
    <w:p w14:paraId="355550DA" w14:textId="250B9436" w:rsidR="00C3503C" w:rsidRDefault="00C3503C">
      <w:pPr>
        <w:pStyle w:val="Textoindependiente"/>
        <w:ind w:left="705"/>
        <w:rPr>
          <w:rFonts w:ascii="Cambria Math" w:hAnsi="Cambria Math"/>
          <w:w w:val="95"/>
          <w:sz w:val="22"/>
          <w:szCs w:val="22"/>
        </w:rPr>
      </w:pPr>
    </w:p>
    <w:p w14:paraId="4841AD5D" w14:textId="77777777" w:rsidR="00C3503C" w:rsidRDefault="00C3503C">
      <w:pPr>
        <w:pStyle w:val="Textoindependiente"/>
        <w:ind w:left="705"/>
        <w:rPr>
          <w:rFonts w:ascii="Cambria Math" w:hAnsi="Cambria Math"/>
          <w:w w:val="95"/>
          <w:sz w:val="22"/>
          <w:szCs w:val="22"/>
        </w:rPr>
      </w:pPr>
    </w:p>
    <w:p w14:paraId="4A6A96CC" w14:textId="7627E7C6" w:rsidR="00C830A3" w:rsidRDefault="00C830A3">
      <w:pPr>
        <w:pStyle w:val="Textoindependiente"/>
        <w:ind w:left="705"/>
        <w:rPr>
          <w:rFonts w:ascii="Cambria Math" w:hAnsi="Cambria Math"/>
          <w:w w:val="95"/>
          <w:sz w:val="22"/>
          <w:szCs w:val="22"/>
        </w:rPr>
      </w:pPr>
    </w:p>
    <w:p w14:paraId="73F384B2" w14:textId="6036A4E9" w:rsidR="00C830A3" w:rsidRDefault="00C830A3">
      <w:pPr>
        <w:pStyle w:val="Textoindependiente"/>
        <w:ind w:left="705"/>
        <w:rPr>
          <w:rFonts w:ascii="Cambria Math" w:hAnsi="Cambria Math"/>
          <w:w w:val="95"/>
          <w:sz w:val="22"/>
          <w:szCs w:val="22"/>
        </w:rPr>
      </w:pPr>
    </w:p>
    <w:p w14:paraId="2B616F6A" w14:textId="53FBF725" w:rsidR="00C830A3" w:rsidRDefault="00C830A3">
      <w:pPr>
        <w:pStyle w:val="Textoindependiente"/>
        <w:ind w:left="705"/>
        <w:rPr>
          <w:rFonts w:ascii="Cambria Math" w:hAnsi="Cambria Math"/>
          <w:w w:val="95"/>
          <w:sz w:val="22"/>
          <w:szCs w:val="22"/>
        </w:rPr>
      </w:pPr>
    </w:p>
    <w:p w14:paraId="044524C8" w14:textId="6BA0B411" w:rsidR="00C830A3" w:rsidRDefault="00C830A3">
      <w:pPr>
        <w:pStyle w:val="Textoindependiente"/>
        <w:ind w:left="705"/>
        <w:rPr>
          <w:rFonts w:ascii="Cambria Math" w:hAnsi="Cambria Math"/>
          <w:w w:val="95"/>
          <w:sz w:val="22"/>
          <w:szCs w:val="22"/>
        </w:rPr>
      </w:pPr>
    </w:p>
    <w:p w14:paraId="0F28DED9" w14:textId="2DF9E940" w:rsidR="00C830A3" w:rsidRDefault="00C830A3">
      <w:pPr>
        <w:pStyle w:val="Textoindependiente"/>
        <w:ind w:left="705"/>
        <w:rPr>
          <w:rFonts w:ascii="Cambria Math" w:hAnsi="Cambria Math"/>
          <w:w w:val="95"/>
          <w:sz w:val="22"/>
          <w:szCs w:val="22"/>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Default="00C830A3">
      <w:pPr>
        <w:pStyle w:val="Textoindependiente"/>
        <w:ind w:left="705"/>
        <w:rPr>
          <w:rFonts w:ascii="Cambria Math" w:hAnsi="Cambria Math"/>
          <w:w w:val="95"/>
          <w:sz w:val="22"/>
          <w:szCs w:val="22"/>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lastRenderedPageBreak/>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7">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8">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9">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40">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1"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Cardoso, A., Guimaraes, P., Portugal, P., &amp; </w:t>
      </w:r>
      <w:proofErr w:type="spellStart"/>
      <w:r w:rsidRPr="009516C4">
        <w:rPr>
          <w:rFonts w:ascii="Cambria Math" w:hAnsi="Cambria Math" w:cs="Calibri"/>
          <w:color w:val="000000"/>
        </w:rPr>
        <w:t>Raposo</w:t>
      </w:r>
      <w:proofErr w:type="spellEnd"/>
      <w:r w:rsidRPr="009516C4">
        <w:rPr>
          <w:rFonts w:ascii="Cambria Math" w:hAnsi="Cambria Math" w:cs="Calibri"/>
          <w:color w:val="000000"/>
        </w:rPr>
        <w:t xml:space="preserve">, P (2016). The sources of the gender wage gap. </w:t>
      </w:r>
      <w:hyperlink r:id="rId42"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proofErr w:type="spellStart"/>
      <w:r w:rsidRPr="009516C4">
        <w:rPr>
          <w:rFonts w:ascii="Cambria Math" w:hAnsi="Cambria Math" w:cs="Calibri"/>
          <w:sz w:val="22"/>
          <w:szCs w:val="22"/>
        </w:rPr>
        <w:t>Chiswick</w:t>
      </w:r>
      <w:proofErr w:type="spellEnd"/>
      <w:r w:rsidRPr="009516C4">
        <w:rPr>
          <w:rFonts w:ascii="Cambria Math" w:hAnsi="Cambria Math" w:cs="Calibri"/>
          <w:sz w:val="22"/>
          <w:szCs w:val="22"/>
        </w:rPr>
        <w:t>, B.R.</w:t>
      </w:r>
      <w:r w:rsidRPr="009516C4">
        <w:rPr>
          <w:rFonts w:ascii="Cambria Math" w:hAnsi="Cambria Math"/>
          <w:sz w:val="22"/>
          <w:szCs w:val="22"/>
        </w:rPr>
        <w:t xml:space="preserve"> </w:t>
      </w:r>
      <w:r w:rsidRPr="009516C4">
        <w:rPr>
          <w:rFonts w:ascii="Cambria Math" w:hAnsi="Cambria Math" w:cs="Calibri"/>
          <w:sz w:val="22"/>
          <w:szCs w:val="22"/>
        </w:rPr>
        <w:t xml:space="preserve">(2003). </w:t>
      </w:r>
      <w:r w:rsidRPr="009516C4">
        <w:rPr>
          <w:rFonts w:ascii="Cambria Math" w:hAnsi="Cambria Math"/>
          <w:sz w:val="22"/>
          <w:szCs w:val="22"/>
        </w:rPr>
        <w:t xml:space="preserve">Jacob </w:t>
      </w:r>
      <w:proofErr w:type="spellStart"/>
      <w:r w:rsidRPr="009516C4">
        <w:rPr>
          <w:rFonts w:ascii="Cambria Math" w:hAnsi="Cambria Math"/>
          <w:sz w:val="22"/>
          <w:szCs w:val="22"/>
        </w:rPr>
        <w:t>Mincer</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Experience</w:t>
      </w:r>
      <w:proofErr w:type="spellEnd"/>
      <w:r w:rsidRPr="009516C4">
        <w:rPr>
          <w:rFonts w:ascii="Cambria Math" w:hAnsi="Cambria Math"/>
          <w:sz w:val="22"/>
          <w:szCs w:val="22"/>
        </w:rPr>
        <w:t xml:space="preserve"> and </w:t>
      </w:r>
      <w:proofErr w:type="spellStart"/>
      <w:r w:rsidRPr="009516C4">
        <w:rPr>
          <w:rFonts w:ascii="Cambria Math" w:hAnsi="Cambria Math"/>
          <w:sz w:val="22"/>
          <w:szCs w:val="22"/>
        </w:rPr>
        <w:t>the</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Distribution</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of</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Earnings</w:t>
      </w:r>
      <w:proofErr w:type="spellEnd"/>
      <w:r w:rsidRPr="009516C4">
        <w:rPr>
          <w:rFonts w:ascii="Cambria Math" w:hAnsi="Cambria Math"/>
          <w:sz w:val="22"/>
          <w:szCs w:val="22"/>
        </w:rPr>
        <w:t xml:space="preserve">. </w:t>
      </w:r>
      <w:r w:rsidRPr="009516C4">
        <w:rPr>
          <w:rFonts w:ascii="Cambria Math" w:hAnsi="Cambria Math" w:cs="Arial"/>
          <w:color w:val="333333"/>
          <w:sz w:val="22"/>
          <w:szCs w:val="22"/>
          <w:shd w:val="clear" w:color="auto" w:fill="FFFFFF"/>
        </w:rPr>
        <w:t> </w:t>
      </w:r>
      <w:hyperlink r:id="rId43" w:history="1">
        <w:r w:rsidRPr="009516C4">
          <w:rPr>
            <w:rFonts w:ascii="Cambria Math" w:hAnsi="Cambria Math" w:cs="Calibri"/>
            <w:sz w:val="22"/>
            <w:szCs w:val="22"/>
          </w:rPr>
          <w:t>Review of Economics of the Household</w:t>
        </w:r>
      </w:hyperlink>
      <w:r w:rsidRPr="009516C4">
        <w:rPr>
          <w:rFonts w:ascii="Cambria Math" w:hAnsi="Cambria Math" w:cs="Calibri"/>
          <w:sz w:val="22"/>
          <w:szCs w:val="22"/>
        </w:rPr>
        <w:t xml:space="preserve">, Springer, vol. 1(4), </w:t>
      </w:r>
      <w:proofErr w:type="spellStart"/>
      <w:r w:rsidRPr="009516C4">
        <w:rPr>
          <w:rFonts w:ascii="Cambria Math" w:hAnsi="Cambria Math" w:cs="Calibri"/>
          <w:sz w:val="22"/>
          <w:szCs w:val="22"/>
        </w:rPr>
        <w:t>pages</w:t>
      </w:r>
      <w:proofErr w:type="spellEnd"/>
      <w:r w:rsidRPr="009516C4">
        <w:rPr>
          <w:rFonts w:ascii="Cambria Math" w:hAnsi="Cambria Math" w:cs="Calibri"/>
          <w:sz w:val="22"/>
          <w:szCs w:val="22"/>
        </w:rPr>
        <w:t xml:space="preserve"> 343-361, </w:t>
      </w:r>
      <w:proofErr w:type="spellStart"/>
      <w:r w:rsidRPr="009516C4">
        <w:rPr>
          <w:rFonts w:ascii="Cambria Math" w:hAnsi="Cambria Math" w:cs="Calibri"/>
          <w:sz w:val="22"/>
          <w:szCs w:val="22"/>
        </w:rPr>
        <w:t>December</w:t>
      </w:r>
      <w:proofErr w:type="spellEnd"/>
      <w:r w:rsidRPr="009516C4">
        <w:rPr>
          <w:rFonts w:ascii="Cambria Math" w:hAnsi="Cambria Math" w:cs="Calibri"/>
          <w:sz w:val="22"/>
          <w:szCs w:val="22"/>
        </w:rPr>
        <w:t>.</w:t>
      </w:r>
      <w:r w:rsidRPr="009516C4">
        <w:rPr>
          <w:rFonts w:ascii="Cambria Math" w:hAnsi="Cambria Math"/>
          <w:sz w:val="22"/>
          <w:szCs w:val="22"/>
        </w:rPr>
        <w:t xml:space="preserve"> </w:t>
      </w:r>
      <w:hyperlink r:id="rId44"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81226"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rPr>
      </w:pPr>
      <w:r w:rsidRPr="00481226">
        <w:rPr>
          <w:rFonts w:ascii="Cambria Math" w:hAnsi="Cambria Math"/>
          <w:lang w:val="es-HN"/>
        </w:rPr>
        <w:t xml:space="preserve">Departamento Administrativo Nacional de Estadísticas (DANE). </w:t>
      </w:r>
      <w:hyperlink r:id="rId45"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6" w:history="1">
        <w:r w:rsidRPr="00481226">
          <w:rPr>
            <w:rStyle w:val="Hipervnculo"/>
            <w:rFonts w:ascii="Cambria Math" w:hAnsi="Cambria Math"/>
          </w:rPr>
          <w:t>https://www.dane.gov.co/index.php/estadisticas-por-tema/cuentas-nacionales/cuentas-nacionales-departamentales</w:t>
        </w:r>
      </w:hyperlink>
      <w:r w:rsidR="00481226" w:rsidRPr="00481226">
        <w:rPr>
          <w:rStyle w:val="Hipervnculo"/>
          <w:rFonts w:ascii="Cambria Math" w:hAnsi="Cambria Math"/>
        </w:rPr>
        <w:t>.</w:t>
      </w:r>
    </w:p>
    <w:p w14:paraId="6FA41073" w14:textId="77777777" w:rsidR="00481226" w:rsidRPr="00481226" w:rsidRDefault="00481226" w:rsidP="00481226">
      <w:pPr>
        <w:pStyle w:val="Prrafodelista"/>
        <w:rPr>
          <w:rFonts w:ascii="Cambria Math" w:hAnsi="Cambria Math" w:cs="Calibri"/>
          <w:color w:val="000000"/>
        </w:rPr>
      </w:pPr>
    </w:p>
    <w:p w14:paraId="33A5B79D" w14:textId="15874B88" w:rsidR="00481226" w:rsidRPr="00481226"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rPr>
      </w:pPr>
      <w:r w:rsidRPr="00481226">
        <w:rPr>
          <w:rFonts w:ascii="Cambria Math" w:hAnsi="Cambria Math"/>
          <w:lang w:val="es-HN"/>
        </w:rPr>
        <w:t>Departamento Administrativo Nacional de Estadísticas (DANE). (2020). Brecha Salarial de Género en Colombia</w:t>
      </w:r>
      <w:r w:rsidRPr="00481226">
        <w:rPr>
          <w:rFonts w:ascii="Cambria Math" w:hAnsi="Cambria Math"/>
        </w:rPr>
        <w:t xml:space="preserve">. </w:t>
      </w:r>
      <w:hyperlink r:id="rId47" w:history="1">
        <w:r w:rsidRPr="00481226">
          <w:rPr>
            <w:rStyle w:val="Hipervnculo"/>
            <w:rFonts w:ascii="Cambria Math" w:hAnsi="Cambria Math"/>
          </w:rPr>
          <w:t>nov-2020-brecha-salarial-de-genero-colombia.pdf (dane.gov.co)</w:t>
        </w:r>
      </w:hyperlink>
      <w:r>
        <w:rPr>
          <w:rStyle w:val="Hipervnculo"/>
          <w:rFonts w:ascii="Cambria Math" w:hAnsi="Cambria Math"/>
        </w:rPr>
        <w:t>.</w:t>
      </w:r>
    </w:p>
    <w:p w14:paraId="1E248054" w14:textId="77777777" w:rsidR="00481226" w:rsidRPr="00481226" w:rsidRDefault="00481226" w:rsidP="00481226">
      <w:pPr>
        <w:pStyle w:val="Prrafodelista"/>
        <w:rPr>
          <w:rStyle w:val="Hipervnculo"/>
          <w:rFonts w:ascii="Cambria Math" w:hAnsi="Cambria Math" w:cs="Calibri"/>
          <w:color w:val="000000"/>
          <w:u w:val="none"/>
        </w:rPr>
      </w:pPr>
    </w:p>
    <w:p w14:paraId="5E0C5857" w14:textId="66794B50" w:rsidR="001F6864" w:rsidRPr="00481226"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81226">
        <w:rPr>
          <w:rFonts w:ascii="Cambria Math" w:eastAsiaTheme="minorHAnsi" w:hAnsi="Cambria Math" w:cstheme="minorBidi"/>
        </w:rPr>
        <w:t xml:space="preserve"> </w:t>
      </w:r>
      <w:hyperlink r:id="rId48" w:history="1">
        <w:r w:rsidRPr="00481226">
          <w:rPr>
            <w:rStyle w:val="Hipervnculo"/>
            <w:rFonts w:ascii="Cambria Math" w:hAnsi="Cambria Math"/>
          </w:rPr>
          <w:t xml:space="preserve">Colombia - Gran </w:t>
        </w:r>
        <w:proofErr w:type="spellStart"/>
        <w:r w:rsidRPr="00481226">
          <w:rPr>
            <w:rStyle w:val="Hipervnculo"/>
            <w:rFonts w:ascii="Cambria Math" w:hAnsi="Cambria Math"/>
          </w:rPr>
          <w:t>Encuesta</w:t>
        </w:r>
        <w:proofErr w:type="spellEnd"/>
        <w:r w:rsidRPr="00481226">
          <w:rPr>
            <w:rStyle w:val="Hipervnculo"/>
            <w:rFonts w:ascii="Cambria Math" w:hAnsi="Cambria Math"/>
          </w:rPr>
          <w:t xml:space="preserve"> </w:t>
        </w:r>
        <w:proofErr w:type="spellStart"/>
        <w:r w:rsidRPr="00481226">
          <w:rPr>
            <w:rStyle w:val="Hipervnculo"/>
            <w:rFonts w:ascii="Cambria Math" w:hAnsi="Cambria Math"/>
          </w:rPr>
          <w:t>Integrada</w:t>
        </w:r>
        <w:proofErr w:type="spellEnd"/>
        <w:r w:rsidRPr="00481226">
          <w:rPr>
            <w:rStyle w:val="Hipervnculo"/>
            <w:rFonts w:ascii="Cambria Math" w:hAnsi="Cambria Math"/>
          </w:rPr>
          <w:t xml:space="preserve"> de </w:t>
        </w:r>
        <w:proofErr w:type="spellStart"/>
        <w:r w:rsidRPr="00481226">
          <w:rPr>
            <w:rStyle w:val="Hipervnculo"/>
            <w:rFonts w:ascii="Cambria Math" w:hAnsi="Cambria Math"/>
          </w:rPr>
          <w:t>Hogares</w:t>
        </w:r>
        <w:proofErr w:type="spellEnd"/>
        <w:r w:rsidRPr="00481226">
          <w:rPr>
            <w:rStyle w:val="Hipervnculo"/>
            <w:rFonts w:ascii="Cambria Math" w:hAnsi="Cambria Math"/>
          </w:rPr>
          <w:t xml:space="preserve"> - GEIH - 2018 (dane.gov.co)</w:t>
        </w:r>
      </w:hyperlink>
    </w:p>
    <w:p w14:paraId="1F007221" w14:textId="77777777" w:rsidR="008E55C8" w:rsidRPr="008E55C8" w:rsidRDefault="008E55C8" w:rsidP="008E55C8">
      <w:pPr>
        <w:pStyle w:val="Prrafodelista"/>
        <w:rPr>
          <w:rFonts w:ascii="Cambria Math" w:eastAsiaTheme="minorHAnsi" w:hAnsi="Cambria Math" w:cs="Calibri"/>
          <w:color w:val="000000"/>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lastRenderedPageBreak/>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9516C4">
        <w:rPr>
          <w:rFonts w:ascii="Cambria Math" w:hAnsi="Cambria Math" w:cs="Calibri"/>
          <w:color w:val="000000"/>
        </w:rPr>
        <w:t xml:space="preserve"> </w:t>
      </w:r>
      <w:hyperlink r:id="rId49"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9516C4">
        <w:rPr>
          <w:rFonts w:ascii="Cambria Math" w:hAnsi="Cambria Math" w:cs="Calibri"/>
          <w:color w:val="000000"/>
        </w:rPr>
        <w:t>Guataquí</w:t>
      </w:r>
      <w:proofErr w:type="spellEnd"/>
      <w:r w:rsidRPr="009516C4">
        <w:rPr>
          <w:rFonts w:ascii="Cambria Math" w:hAnsi="Cambria Math" w:cs="Calibri"/>
          <w:color w:val="000000"/>
        </w:rPr>
        <w:t xml:space="preserve">, J.C., Garcia, A.F., &amp; Rodriguez, M. (2009). </w:t>
      </w:r>
      <w:proofErr w:type="spellStart"/>
      <w:r w:rsidRPr="009516C4">
        <w:rPr>
          <w:rFonts w:ascii="Cambria Math" w:hAnsi="Cambria Math" w:cs="Calibri"/>
          <w:color w:val="000000"/>
        </w:rPr>
        <w:t>Estimaciones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determinantes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ingresos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laborales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en</w:t>
      </w:r>
      <w:proofErr w:type="spellEnd"/>
      <w:r w:rsidRPr="009516C4">
        <w:rPr>
          <w:rFonts w:ascii="Cambria Math" w:hAnsi="Cambria Math" w:cs="Calibri"/>
          <w:color w:val="000000"/>
        </w:rPr>
        <w:t xml:space="preserve"> Colombia con </w:t>
      </w:r>
      <w:proofErr w:type="spellStart"/>
      <w:r w:rsidRPr="009516C4">
        <w:rPr>
          <w:rFonts w:ascii="Cambria Math" w:hAnsi="Cambria Math" w:cs="Calibri"/>
          <w:color w:val="000000"/>
        </w:rPr>
        <w:t>consideraciones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diferenciales</w:t>
      </w:r>
      <w:proofErr w:type="spellEnd"/>
      <w:r w:rsidRPr="009516C4">
        <w:rPr>
          <w:rFonts w:ascii="Cambria Math" w:hAnsi="Cambria Math" w:cs="Calibri"/>
          <w:color w:val="000000"/>
        </w:rPr>
        <w:t xml:space="preserve"> para </w:t>
      </w:r>
      <w:proofErr w:type="spellStart"/>
      <w:r w:rsidRPr="009516C4">
        <w:rPr>
          <w:rFonts w:ascii="Cambria Math" w:hAnsi="Cambria Math" w:cs="Calibri"/>
          <w:color w:val="000000"/>
        </w:rPr>
        <w:t>asalariados</w:t>
      </w:r>
      <w:proofErr w:type="spellEnd"/>
      <w:r w:rsidRPr="009516C4">
        <w:rPr>
          <w:rFonts w:ascii="Cambria Math" w:hAnsi="Cambria Math" w:cs="Calibri"/>
          <w:color w:val="000000"/>
        </w:rPr>
        <w:t xml:space="preserve"> y </w:t>
      </w:r>
      <w:proofErr w:type="spellStart"/>
      <w:r w:rsidRPr="009516C4">
        <w:rPr>
          <w:rFonts w:ascii="Cambria Math" w:hAnsi="Cambria Math" w:cs="Calibri"/>
          <w:color w:val="000000"/>
        </w:rPr>
        <w:t>cuenta</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propia</w:t>
      </w:r>
      <w:proofErr w:type="spellEnd"/>
      <w:r w:rsidRPr="009516C4">
        <w:rPr>
          <w:rFonts w:ascii="Cambria Math" w:hAnsi="Cambria Math" w:cs="Calibri"/>
          <w:color w:val="000000"/>
        </w:rPr>
        <w:t xml:space="preserve"> (Serie </w:t>
      </w:r>
      <w:proofErr w:type="spellStart"/>
      <w:r w:rsidRPr="009516C4">
        <w:rPr>
          <w:rFonts w:ascii="Cambria Math" w:hAnsi="Cambria Math" w:cs="Calibri"/>
          <w:color w:val="000000"/>
        </w:rPr>
        <w:t>documentos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trabajo</w:t>
      </w:r>
      <w:proofErr w:type="spellEnd"/>
      <w:r w:rsidRPr="009516C4">
        <w:rPr>
          <w:rFonts w:ascii="Cambria Math" w:hAnsi="Cambria Math" w:cs="Calibri"/>
          <w:color w:val="000000"/>
        </w:rPr>
        <w:t xml:space="preserve"> No. 70). Universidad del Rosario, </w:t>
      </w:r>
      <w:proofErr w:type="spellStart"/>
      <w:r w:rsidRPr="009516C4">
        <w:rPr>
          <w:rFonts w:ascii="Cambria Math" w:hAnsi="Cambria Math" w:cs="Calibri"/>
          <w:color w:val="000000"/>
        </w:rPr>
        <w:t>Facultad</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Economía</w:t>
      </w:r>
      <w:proofErr w:type="spellEnd"/>
      <w:r w:rsidRPr="009516C4">
        <w:rPr>
          <w:rFonts w:ascii="Cambria Math" w:hAnsi="Cambria Math" w:cs="Calibri"/>
          <w:color w:val="000000"/>
        </w:rPr>
        <w:t xml:space="preserve">. </w:t>
      </w:r>
      <w:hyperlink r:id="rId50" w:history="1">
        <w:r w:rsidRPr="009516C4">
          <w:rPr>
            <w:rStyle w:val="Hipervnculo"/>
            <w:rFonts w:ascii="Cambria Math" w:hAnsi="Cambria Math" w:cs="Calibri"/>
          </w:rPr>
          <w:t>http://ideas.repec.org/p/col/000092/005756.html</w:t>
        </w:r>
      </w:hyperlink>
    </w:p>
    <w:p w14:paraId="29A89158" w14:textId="77777777" w:rsidR="00D231D1" w:rsidRPr="00D231D1" w:rsidRDefault="00D231D1" w:rsidP="00D231D1">
      <w:pPr>
        <w:pStyle w:val="Prrafodelista"/>
        <w:rPr>
          <w:rFonts w:ascii="Cambria Math" w:hAnsi="Cambria Math" w:cs="Calibri"/>
          <w:color w:val="000000"/>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1"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D30399">
        <w:rPr>
          <w:rFonts w:ascii="Cambria Math" w:eastAsia="Georgia" w:hAnsi="Cambria Math" w:cs="Calibri"/>
          <w:sz w:val="22"/>
          <w:szCs w:val="22"/>
          <w:lang w:val="en-US"/>
        </w:rPr>
        <w:t xml:space="preserve">López, J. L., Sarmiento, G. (2019). Determinantes de la brecha salarial en Ecuador: </w:t>
      </w:r>
      <w:proofErr w:type="spellStart"/>
      <w:r w:rsidRPr="00D30399">
        <w:rPr>
          <w:rFonts w:ascii="Cambria Math" w:eastAsia="Georgia" w:hAnsi="Cambria Math" w:cs="Calibri"/>
          <w:sz w:val="22"/>
          <w:szCs w:val="22"/>
          <w:lang w:val="en-US"/>
        </w:rPr>
        <w:t>análisis</w:t>
      </w:r>
      <w:proofErr w:type="spellEnd"/>
      <w:r w:rsidRPr="00D30399">
        <w:rPr>
          <w:rFonts w:ascii="Cambria Math" w:eastAsia="Georgia" w:hAnsi="Cambria Math" w:cs="Calibri"/>
          <w:sz w:val="22"/>
          <w:szCs w:val="22"/>
          <w:lang w:val="en-US"/>
        </w:rPr>
        <w:t xml:space="preserve"> bajo un </w:t>
      </w:r>
      <w:proofErr w:type="spellStart"/>
      <w:r w:rsidRPr="00D30399">
        <w:rPr>
          <w:rFonts w:ascii="Cambria Math" w:eastAsia="Georgia" w:hAnsi="Cambria Math" w:cs="Calibri"/>
          <w:sz w:val="22"/>
          <w:szCs w:val="22"/>
          <w:lang w:val="en-US"/>
        </w:rPr>
        <w:t>modelo</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minceriano</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relacionado</w:t>
      </w:r>
      <w:proofErr w:type="spellEnd"/>
      <w:r w:rsidRPr="00D30399">
        <w:rPr>
          <w:rFonts w:ascii="Cambria Math" w:eastAsia="Georgia" w:hAnsi="Cambria Math" w:cs="Calibri"/>
          <w:sz w:val="22"/>
          <w:szCs w:val="22"/>
          <w:lang w:val="en-US"/>
        </w:rPr>
        <w:t xml:space="preserve"> con variables </w:t>
      </w:r>
      <w:proofErr w:type="spellStart"/>
      <w:r w:rsidRPr="00D30399">
        <w:rPr>
          <w:rFonts w:ascii="Cambria Math" w:eastAsia="Georgia" w:hAnsi="Cambria Math" w:cs="Calibri"/>
          <w:sz w:val="22"/>
          <w:szCs w:val="22"/>
          <w:lang w:val="en-US"/>
        </w:rPr>
        <w:t>agregadas</w:t>
      </w:r>
      <w:proofErr w:type="spellEnd"/>
      <w:r w:rsidRPr="00D30399">
        <w:rPr>
          <w:rFonts w:ascii="Cambria Math" w:eastAsia="Georgia" w:hAnsi="Cambria Math" w:cs="Calibri"/>
          <w:sz w:val="22"/>
          <w:szCs w:val="22"/>
          <w:lang w:val="en-US"/>
        </w:rPr>
        <w:t xml:space="preserve"> dummy. </w:t>
      </w:r>
      <w:proofErr w:type="spellStart"/>
      <w:r w:rsidRPr="00D30399">
        <w:rPr>
          <w:rFonts w:ascii="Cambria Math" w:eastAsia="Georgia" w:hAnsi="Cambria Math" w:cs="Calibri"/>
          <w:sz w:val="22"/>
          <w:szCs w:val="22"/>
          <w:lang w:val="en-US"/>
        </w:rPr>
        <w:t>Espirales</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revista</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multidisciplinaria</w:t>
      </w:r>
      <w:proofErr w:type="spellEnd"/>
      <w:r w:rsidRPr="00D30399">
        <w:rPr>
          <w:rFonts w:ascii="Cambria Math" w:eastAsia="Georgia" w:hAnsi="Cambria Math" w:cs="Calibri"/>
          <w:sz w:val="22"/>
          <w:szCs w:val="22"/>
          <w:lang w:val="en-US"/>
        </w:rPr>
        <w:t xml:space="preserve"> de </w:t>
      </w:r>
      <w:proofErr w:type="spellStart"/>
      <w:r w:rsidRPr="00D30399">
        <w:rPr>
          <w:rFonts w:ascii="Cambria Math" w:eastAsia="Georgia" w:hAnsi="Cambria Math" w:cs="Calibri"/>
          <w:sz w:val="22"/>
          <w:szCs w:val="22"/>
          <w:lang w:val="en-US"/>
        </w:rPr>
        <w:t>invesitgación</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científica</w:t>
      </w:r>
      <w:proofErr w:type="spellEnd"/>
      <w:r w:rsidRPr="00D30399">
        <w:rPr>
          <w:rFonts w:ascii="Cambria Math" w:eastAsia="Georgia" w:hAnsi="Cambria Math" w:cs="Calibri"/>
          <w:sz w:val="22"/>
          <w:szCs w:val="22"/>
          <w:lang w:val="en-US"/>
        </w:rPr>
        <w:t>, vol. 3, núm. 27, 2019.</w:t>
      </w:r>
      <w:r>
        <w:t xml:space="preserve"> </w:t>
      </w:r>
      <w:hyperlink r:id="rId52"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D231D1" w:rsidRDefault="00D231D1" w:rsidP="00D231D1">
      <w:pPr>
        <w:pStyle w:val="Prrafodelista"/>
        <w:rPr>
          <w:rFonts w:ascii="Cambria Math" w:hAnsi="Cambria Math" w:cs="Calibri"/>
          <w:color w:val="000000"/>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3" w:history="1">
        <w:r w:rsidRPr="009516C4">
          <w:rPr>
            <w:rStyle w:val="Hipervnculo"/>
            <w:rFonts w:ascii="Cambria Math" w:hAnsi="Cambria Math" w:cs="Calibri"/>
          </w:rPr>
          <w:t>https://www.nber.org/books-and-chapters/education-income-and-human-behavior</w:t>
        </w:r>
      </w:hyperlink>
    </w:p>
    <w:p w14:paraId="7A35514B" w14:textId="77777777" w:rsidR="008516C9" w:rsidRDefault="008516C9" w:rsidP="00D231D1">
      <w:pPr>
        <w:pStyle w:val="Default"/>
        <w:ind w:left="720"/>
        <w:jc w:val="both"/>
        <w:rPr>
          <w:rStyle w:val="Hipervnculo"/>
          <w:rFonts w:ascii="Cambria Math" w:hAnsi="Cambria Math" w:cs="Times New Roman"/>
          <w:color w:val="000000"/>
          <w:sz w:val="22"/>
          <w:szCs w:val="22"/>
          <w:u w:val="none"/>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D30399">
        <w:rPr>
          <w:rFonts w:ascii="Cambria Math" w:eastAsia="Georgia" w:hAnsi="Cambria Math" w:cs="Calibri"/>
          <w:sz w:val="22"/>
          <w:szCs w:val="22"/>
          <w:lang w:val="en-US"/>
        </w:rPr>
        <w:t>Nazier</w:t>
      </w:r>
      <w:proofErr w:type="spellEnd"/>
      <w:r w:rsidRPr="00D30399">
        <w:rPr>
          <w:rFonts w:ascii="Cambria Math" w:eastAsia="Georgia" w:hAnsi="Cambria Math" w:cs="Calibri"/>
          <w:sz w:val="22"/>
          <w:szCs w:val="22"/>
          <w:lang w:val="en-US"/>
        </w:rPr>
        <w:t>, H. (2017). The conditional gender wage gap in Egypt: premium or penalty?. Topics in Middle Eastern and African Economies. Vol. 19, Issue No. 2, September 2017</w:t>
      </w:r>
      <w:r w:rsidRPr="008516C9">
        <w:rPr>
          <w:rFonts w:ascii="Cambria Math" w:hAnsi="Cambria Math"/>
        </w:rPr>
        <w:t xml:space="preserve">. </w:t>
      </w:r>
      <w:hyperlink r:id="rId54"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9516C4">
        <w:rPr>
          <w:rFonts w:ascii="Cambria Math" w:hAnsi="Cambria Math"/>
          <w:sz w:val="22"/>
          <w:szCs w:val="22"/>
        </w:rPr>
        <w:t>Oxa</w:t>
      </w:r>
      <w:proofErr w:type="spellEnd"/>
      <w:r w:rsidRPr="009516C4">
        <w:rPr>
          <w:rFonts w:ascii="Cambria Math" w:hAnsi="Cambria Math" w:cs="Calibri"/>
          <w:sz w:val="22"/>
          <w:szCs w:val="22"/>
        </w:rPr>
        <w:t xml:space="preserve">, </w:t>
      </w:r>
      <w:r w:rsidRPr="009516C4">
        <w:rPr>
          <w:rFonts w:ascii="Cambria Math" w:hAnsi="Cambria Math"/>
          <w:sz w:val="22"/>
          <w:szCs w:val="22"/>
        </w:rPr>
        <w:t>A</w:t>
      </w:r>
      <w:r w:rsidRPr="009516C4">
        <w:rPr>
          <w:rFonts w:ascii="Cambria Math" w:hAnsi="Cambria Math" w:cs="Calibri"/>
          <w:sz w:val="22"/>
          <w:szCs w:val="22"/>
        </w:rPr>
        <w:t>.</w:t>
      </w:r>
      <w:r w:rsidRPr="009516C4">
        <w:rPr>
          <w:rFonts w:ascii="Cambria Math" w:hAnsi="Cambria Math"/>
          <w:sz w:val="22"/>
          <w:szCs w:val="22"/>
        </w:rPr>
        <w:t>V., &amp;</w:t>
      </w:r>
      <w:r w:rsidRPr="009516C4">
        <w:rPr>
          <w:rFonts w:ascii="Cambria Math" w:hAnsi="Cambria Math" w:cs="Calibri"/>
          <w:sz w:val="22"/>
          <w:szCs w:val="22"/>
        </w:rPr>
        <w:t xml:space="preserve"> </w:t>
      </w:r>
      <w:r w:rsidRPr="009516C4">
        <w:rPr>
          <w:rFonts w:ascii="Cambria Math" w:hAnsi="Cambria Math"/>
          <w:sz w:val="22"/>
          <w:szCs w:val="22"/>
        </w:rPr>
        <w:t>Loayza</w:t>
      </w:r>
      <w:r w:rsidRPr="009516C4">
        <w:rPr>
          <w:rFonts w:ascii="Cambria Math" w:hAnsi="Cambria Math" w:cs="Calibri"/>
          <w:sz w:val="22"/>
          <w:szCs w:val="22"/>
        </w:rPr>
        <w:t xml:space="preserve">, </w:t>
      </w:r>
      <w:r w:rsidRPr="009516C4">
        <w:rPr>
          <w:rFonts w:ascii="Cambria Math" w:hAnsi="Cambria Math"/>
          <w:sz w:val="22"/>
          <w:szCs w:val="22"/>
        </w:rPr>
        <w:t>D</w:t>
      </w:r>
      <w:r w:rsidRPr="009516C4">
        <w:rPr>
          <w:rFonts w:ascii="Cambria Math" w:hAnsi="Cambria Math" w:cs="Calibri"/>
          <w:sz w:val="22"/>
          <w:szCs w:val="22"/>
        </w:rPr>
        <w:t xml:space="preserve">. </w:t>
      </w:r>
      <w:r w:rsidRPr="009516C4">
        <w:rPr>
          <w:rFonts w:ascii="Cambria Math" w:hAnsi="Cambria Math"/>
          <w:sz w:val="22"/>
          <w:szCs w:val="22"/>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5"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6"/>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1663" w14:textId="77777777" w:rsidR="0082179C" w:rsidRDefault="0082179C">
      <w:r>
        <w:separator/>
      </w:r>
    </w:p>
  </w:endnote>
  <w:endnote w:type="continuationSeparator" w:id="0">
    <w:p w14:paraId="00ADC9D4" w14:textId="77777777" w:rsidR="0082179C" w:rsidRDefault="0082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90FD" w14:textId="77777777" w:rsidR="0082179C" w:rsidRDefault="0082179C">
      <w:r>
        <w:separator/>
      </w:r>
    </w:p>
  </w:footnote>
  <w:footnote w:type="continuationSeparator" w:id="0">
    <w:p w14:paraId="7753DABA" w14:textId="77777777" w:rsidR="0082179C" w:rsidRDefault="0082179C">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rsidRPr="0085551A">
        <w:rPr>
          <w:rFonts w:ascii="Cambria Math" w:hAnsi="Cambria Math"/>
          <w:sz w:val="18"/>
          <w:szCs w:val="18"/>
        </w:rPr>
        <w:t xml:space="preserve"> </w:t>
      </w:r>
      <w:r w:rsidRPr="0085551A">
        <w:rPr>
          <w:rFonts w:ascii="Cambria Math" w:hAnsi="Cambria Math"/>
          <w:sz w:val="18"/>
          <w:szCs w:val="18"/>
          <w:lang w:val="es-HN"/>
        </w:rPr>
        <w:t>Para las variables estrato y tamaño de empresa de la tabla 3, se calculó la moda de sus datos</w:t>
      </w:r>
      <w:r w:rsidRPr="0085551A">
        <w:rPr>
          <w:rFonts w:ascii="Cambria Math" w:hAnsi="Cambria Math"/>
          <w:sz w:val="18"/>
          <w:szCs w:val="18"/>
        </w:rPr>
        <w:t>.</w:t>
      </w:r>
    </w:p>
  </w:footnote>
  <w:footnote w:id="5">
    <w:p w14:paraId="5AF609C9" w14:textId="3BBE6CD1" w:rsidR="009C0EF5" w:rsidRDefault="009C0EF5" w:rsidP="009C0EF5">
      <w:pPr>
        <w:pStyle w:val="Textonotapie"/>
      </w:pPr>
      <w:r>
        <w:rPr>
          <w:rStyle w:val="Refdenotaalpie"/>
        </w:rPr>
        <w:footnoteRef/>
      </w:r>
      <w:r w:rsidR="0085551A" w:rsidRPr="0085551A">
        <w:rPr>
          <w:vertAlign w:val="superscript"/>
        </w:rPr>
        <w:t>/</w:t>
      </w:r>
      <w:r>
        <w:t xml:space="preserve"> </w:t>
      </w:r>
      <w:hyperlink r:id="rId2" w:anchor="preguntas-frecuentes" w:history="1">
        <w:r w:rsidRPr="0085551A">
          <w:rPr>
            <w:rStyle w:val="Hipervnculo"/>
            <w:rFonts w:ascii="Cambria Math" w:hAnsi="Cambria Math"/>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179C"/>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12AC"/>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BE2658"/>
    <w:rsid w:val="00C2558B"/>
    <w:rsid w:val="00C3503C"/>
    <w:rsid w:val="00C40A9A"/>
    <w:rsid w:val="00C704A0"/>
    <w:rsid w:val="00C830A3"/>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472E2"/>
    <w:rsid w:val="00F64D7B"/>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style.tidyverse.org/"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www.bportugal.pt/sites/default/files/anexos/papers/re201606_e.pdf" TargetMode="External"/><Relationship Id="rId47" Type="http://schemas.openxmlformats.org/officeDocument/2006/relationships/hyperlink" Target="https://www.dane.gov.co/files/investigaciones/notas-estadisticas/nov-2020-brecha-salarial-de-genero-colombia.pdf" TargetMode="External"/><Relationship Id="rId50" Type="http://schemas.openxmlformats.org/officeDocument/2006/relationships/hyperlink" Target="http://ideas.repec.org/p/col/000092/005756.html" TargetMode="External"/><Relationship Id="rId55" Type="http://schemas.openxmlformats.org/officeDocument/2006/relationships/hyperlink" Target="http://doi.org/10.5281/zenodo.121180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github.com/ignaciomsarmiento/PS_Repo" TargetMode="External"/><Relationship Id="rId40" Type="http://schemas.openxmlformats.org/officeDocument/2006/relationships/hyperlink" Target="https://www.aeaweb.org/journals/aer/styleguide" TargetMode="External"/><Relationship Id="rId45" Type="http://schemas.openxmlformats.org/officeDocument/2006/relationships/hyperlink" Target="https://www.dane.gov.co/index.php/estadisticas-por-tema/cuentas-nacionales" TargetMode="External"/><Relationship Id="rId53" Type="http://schemas.openxmlformats.org/officeDocument/2006/relationships/hyperlink" Target="https://www.nber.org/books-and-chapters/education-income-and-human-behavio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s/kap/reveho.html" TargetMode="External"/><Relationship Id="rId48" Type="http://schemas.openxmlformats.org/officeDocument/2006/relationships/hyperlink" Target="https://microdatos.dane.gov.co/index.php/catalog/547"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cle.berkeley.edu/wp/wp62.pdf"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project-awesome.org/" TargetMode="External"/><Relationship Id="rId46" Type="http://schemas.openxmlformats.org/officeDocument/2006/relationships/hyperlink" Target="https://www.dane.gov.co/index.php/estadisticas-por-tema/cuentas-nacionales/cuentas-nacionales-departamentales"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nber.org/books-and-chapters/human-capital-theoretical-and-empirical-analysis-special-reference-education-first-edition" TargetMode="External"/><Relationship Id="rId54" Type="http://schemas.openxmlformats.org/officeDocument/2006/relationships/hyperlink" Target="https://meea.sites.luc.edu/volume19/pdfs/2-3%20The%20Conditional%20Gender%20Wag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image" Target="media/image6.png"/><Relationship Id="rId49" Type="http://schemas.openxmlformats.org/officeDocument/2006/relationships/hyperlink" Target="https://www.aacademica.org/000-058/48" TargetMode="External"/><Relationship Id="rId57" Type="http://schemas.openxmlformats.org/officeDocument/2006/relationships/fontTable" Target="fontTable.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ideas.repec.org/a/kap/reveho/v1y2003i4p343-361.html" TargetMode="External"/><Relationship Id="rId52" Type="http://schemas.openxmlformats.org/officeDocument/2006/relationships/hyperlink" Target="https://www.redalyc.org/articulo.oa?id=57326332600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20</Pages>
  <Words>7760</Words>
  <Characters>42682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13</cp:revision>
  <cp:lastPrinted>2023-09-18T05:37:00Z</cp:lastPrinted>
  <dcterms:created xsi:type="dcterms:W3CDTF">2023-09-18T04:45:00Z</dcterms:created>
  <dcterms:modified xsi:type="dcterms:W3CDTF">2023-09-18T19:06:00Z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