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b/>
          <w:sz w:val="27"/>
          <w:szCs w:val="27"/>
          <w:lang w:eastAsia="ru-RU"/>
        </w:rPr>
      </w:pPr>
      <w:r w:rsidRPr="00EB2B50">
        <w:rPr>
          <w:rFonts w:eastAsia="Times New Roman"/>
          <w:b/>
          <w:sz w:val="27"/>
          <w:szCs w:val="27"/>
          <w:lang w:eastAsia="ru-RU"/>
        </w:rPr>
        <w:t xml:space="preserve">2. Неправильная оценка установленных обстоятельств дела повлекла необоснованный отказ военнослужащему в восстановлении права на выбор основания увольнения с военной службы. </w:t>
      </w:r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EB2B50">
        <w:rPr>
          <w:rFonts w:eastAsia="Times New Roman"/>
          <w:sz w:val="27"/>
          <w:szCs w:val="27"/>
          <w:lang w:eastAsia="ru-RU"/>
        </w:rPr>
        <w:t xml:space="preserve">Решением 224 гарнизонного военного суда военнослужащему ФСБ России Г. отказано в удовлетворении административного искового заявления, в котором он просил признать незаконным приказ командира воинской части об увольнении с военной службы по истечении срока контракта и возложить на воинское должностное лицо обязанность уволить его с военной службы в связи с признанием ограниченно годным к военной службе. </w:t>
      </w:r>
      <w:proofErr w:type="gramEnd"/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EB2B50">
        <w:rPr>
          <w:rFonts w:eastAsia="Times New Roman"/>
          <w:sz w:val="27"/>
          <w:szCs w:val="27"/>
          <w:lang w:eastAsia="ru-RU"/>
        </w:rPr>
        <w:t xml:space="preserve">Апелляционным определением Ленинградского окружного военного суда решение отменено и по делу принято новое решение об удовлетворении требований Г. по следующим основаниям.  </w:t>
      </w:r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EB2B50">
        <w:rPr>
          <w:rFonts w:eastAsia="Times New Roman"/>
          <w:sz w:val="27"/>
          <w:szCs w:val="27"/>
          <w:lang w:eastAsia="ru-RU"/>
        </w:rPr>
        <w:t>Из материалов дела следует, что 20 декабря 2017 г. Г. подал рапорт об увольнении с военной службы по истечении срока контракта, оканчивавшегося 23 июня 2018 г. При этом он просил не увольнять его с военной службы до определения степени годности к военной службе на основании медици</w:t>
      </w:r>
      <w:r w:rsidRPr="00EB2B50">
        <w:rPr>
          <w:rFonts w:eastAsia="Times New Roman"/>
          <w:sz w:val="27"/>
          <w:szCs w:val="27"/>
          <w:lang w:eastAsia="ru-RU"/>
        </w:rPr>
        <w:t>н</w:t>
      </w:r>
      <w:r w:rsidRPr="00EB2B50">
        <w:rPr>
          <w:rFonts w:eastAsia="Times New Roman"/>
          <w:sz w:val="27"/>
          <w:szCs w:val="27"/>
          <w:lang w:eastAsia="ru-RU"/>
        </w:rPr>
        <w:t xml:space="preserve">ского освидетельствования. </w:t>
      </w:r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EB2B50">
        <w:rPr>
          <w:rFonts w:eastAsia="Times New Roman"/>
          <w:sz w:val="27"/>
          <w:szCs w:val="27"/>
          <w:lang w:eastAsia="ru-RU"/>
        </w:rPr>
        <w:t>Приказом командира воинской части от 26 ноября 2018 г. Г. уволен с военной службы по истечении срока контракта и с 31 декабря 2018 г. исключен из списков личного состава воинской части.</w:t>
      </w:r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EB2B50">
        <w:rPr>
          <w:rFonts w:eastAsia="Times New Roman"/>
          <w:sz w:val="27"/>
          <w:szCs w:val="27"/>
          <w:lang w:eastAsia="ru-RU"/>
        </w:rPr>
        <w:t xml:space="preserve">Заключением военно-врачебной комиссии от 7 декабря 2018 г. административный истец признан ограниченно годным к военной службе, в </w:t>
      </w:r>
      <w:proofErr w:type="gramStart"/>
      <w:r w:rsidRPr="00EB2B50">
        <w:rPr>
          <w:rFonts w:eastAsia="Times New Roman"/>
          <w:sz w:val="27"/>
          <w:szCs w:val="27"/>
          <w:lang w:eastAsia="ru-RU"/>
        </w:rPr>
        <w:t>связи</w:t>
      </w:r>
      <w:proofErr w:type="gramEnd"/>
      <w:r w:rsidRPr="00EB2B50">
        <w:rPr>
          <w:rFonts w:eastAsia="Times New Roman"/>
          <w:sz w:val="27"/>
          <w:szCs w:val="27"/>
          <w:lang w:eastAsia="ru-RU"/>
        </w:rPr>
        <w:t xml:space="preserve"> с чем в рапорте от 17 декабря 2018 г. он ходатайствовал о своем увольнении по состоянию здоровья.</w:t>
      </w:r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EB2B50">
        <w:rPr>
          <w:rFonts w:eastAsia="Times New Roman"/>
          <w:sz w:val="27"/>
          <w:szCs w:val="27"/>
          <w:lang w:eastAsia="ru-RU"/>
        </w:rPr>
        <w:t xml:space="preserve">Отказывая в удовлетворении требований Г., гарнизонный военный суд посчитал, что порядок его увольнения не нарушен, а иных оснований для увольнения на момент издания командиром воинской части оспариваемого приказа не имелось. </w:t>
      </w:r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EB2B50">
        <w:rPr>
          <w:rFonts w:eastAsia="Times New Roman"/>
          <w:sz w:val="27"/>
          <w:szCs w:val="27"/>
          <w:lang w:eastAsia="ru-RU"/>
        </w:rPr>
        <w:t>Между тем такие выводы противоречат установленным в суде фактическим данным и основаны на неправильном применении норм материальн</w:t>
      </w:r>
      <w:r w:rsidRPr="00EB2B50">
        <w:rPr>
          <w:rFonts w:eastAsia="Times New Roman"/>
          <w:sz w:val="27"/>
          <w:szCs w:val="27"/>
          <w:lang w:eastAsia="ru-RU"/>
        </w:rPr>
        <w:t>о</w:t>
      </w:r>
      <w:r w:rsidRPr="00EB2B50">
        <w:rPr>
          <w:rFonts w:eastAsia="Times New Roman"/>
          <w:sz w:val="27"/>
          <w:szCs w:val="27"/>
          <w:lang w:eastAsia="ru-RU"/>
        </w:rPr>
        <w:t xml:space="preserve">го права.    </w:t>
      </w:r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EB2B50">
        <w:rPr>
          <w:rFonts w:eastAsia="Times New Roman"/>
          <w:sz w:val="27"/>
          <w:szCs w:val="27"/>
          <w:lang w:eastAsia="ru-RU"/>
        </w:rPr>
        <w:t>Согласно п. 11 ст. 34 Положения о порядке прохождения военной службы при наличии у военнослужащего, проходящего военную службу по контракту, нескольких оснований для увольнения с военной службы он увольняется по избранному им основанию (за исключением случаев, когда увольнение производится по основаниям, предусмотренным</w:t>
      </w:r>
      <w:r w:rsidRPr="00EB2B50">
        <w:rPr>
          <w:rFonts w:eastAsia="Times New Roman"/>
          <w:sz w:val="27"/>
          <w:szCs w:val="27"/>
          <w:lang w:eastAsia="ru-RU"/>
        </w:rPr>
        <w:br/>
      </w:r>
      <w:proofErr w:type="spellStart"/>
      <w:r w:rsidRPr="00EB2B50">
        <w:rPr>
          <w:rFonts w:eastAsia="Times New Roman"/>
          <w:sz w:val="27"/>
          <w:szCs w:val="27"/>
          <w:lang w:eastAsia="ru-RU"/>
        </w:rPr>
        <w:t>подп</w:t>
      </w:r>
      <w:proofErr w:type="spellEnd"/>
      <w:r w:rsidRPr="00EB2B50">
        <w:rPr>
          <w:rFonts w:eastAsia="Times New Roman"/>
          <w:sz w:val="27"/>
          <w:szCs w:val="27"/>
          <w:lang w:eastAsia="ru-RU"/>
        </w:rPr>
        <w:t>. «</w:t>
      </w:r>
      <w:proofErr w:type="spellStart"/>
      <w:r w:rsidRPr="00EB2B50">
        <w:rPr>
          <w:rFonts w:eastAsia="Times New Roman"/>
          <w:sz w:val="27"/>
          <w:szCs w:val="27"/>
          <w:lang w:eastAsia="ru-RU"/>
        </w:rPr>
        <w:t>д</w:t>
      </w:r>
      <w:proofErr w:type="spellEnd"/>
      <w:r w:rsidRPr="00EB2B50">
        <w:rPr>
          <w:rFonts w:eastAsia="Times New Roman"/>
          <w:sz w:val="27"/>
          <w:szCs w:val="27"/>
          <w:lang w:eastAsia="ru-RU"/>
        </w:rPr>
        <w:t>», «д</w:t>
      </w:r>
      <w:proofErr w:type="gramStart"/>
      <w:r w:rsidRPr="00EB2B50">
        <w:rPr>
          <w:rFonts w:eastAsia="Times New Roman"/>
          <w:sz w:val="27"/>
          <w:szCs w:val="27"/>
          <w:vertAlign w:val="superscript"/>
          <w:lang w:eastAsia="ru-RU"/>
        </w:rPr>
        <w:t>1</w:t>
      </w:r>
      <w:proofErr w:type="gramEnd"/>
      <w:r w:rsidRPr="00EB2B50">
        <w:rPr>
          <w:rFonts w:eastAsia="Times New Roman"/>
          <w:sz w:val="27"/>
          <w:szCs w:val="27"/>
          <w:lang w:eastAsia="ru-RU"/>
        </w:rPr>
        <w:t>», «д</w:t>
      </w:r>
      <w:r w:rsidRPr="00EB2B50">
        <w:rPr>
          <w:rFonts w:eastAsia="Times New Roman"/>
          <w:sz w:val="27"/>
          <w:szCs w:val="27"/>
          <w:vertAlign w:val="superscript"/>
          <w:lang w:eastAsia="ru-RU"/>
        </w:rPr>
        <w:t>2</w:t>
      </w:r>
      <w:r w:rsidRPr="00EB2B50">
        <w:rPr>
          <w:rFonts w:eastAsia="Times New Roman"/>
          <w:sz w:val="27"/>
          <w:szCs w:val="27"/>
          <w:lang w:eastAsia="ru-RU"/>
        </w:rPr>
        <w:t>», «е», «е</w:t>
      </w:r>
      <w:r w:rsidRPr="00EB2B50">
        <w:rPr>
          <w:rFonts w:eastAsia="Times New Roman"/>
          <w:sz w:val="27"/>
          <w:szCs w:val="27"/>
          <w:vertAlign w:val="superscript"/>
          <w:lang w:eastAsia="ru-RU"/>
        </w:rPr>
        <w:t>1</w:t>
      </w:r>
      <w:r w:rsidRPr="00EB2B50">
        <w:rPr>
          <w:rFonts w:eastAsia="Times New Roman"/>
          <w:sz w:val="27"/>
          <w:szCs w:val="27"/>
          <w:lang w:eastAsia="ru-RU"/>
        </w:rPr>
        <w:t>» и «</w:t>
      </w:r>
      <w:proofErr w:type="spellStart"/>
      <w:r w:rsidRPr="00EB2B50">
        <w:rPr>
          <w:rFonts w:eastAsia="Times New Roman"/>
          <w:sz w:val="27"/>
          <w:szCs w:val="27"/>
          <w:lang w:eastAsia="ru-RU"/>
        </w:rPr>
        <w:t>з</w:t>
      </w:r>
      <w:proofErr w:type="spellEnd"/>
      <w:r w:rsidRPr="00EB2B50">
        <w:rPr>
          <w:rFonts w:eastAsia="Times New Roman"/>
          <w:sz w:val="27"/>
          <w:szCs w:val="27"/>
          <w:lang w:eastAsia="ru-RU"/>
        </w:rPr>
        <w:t xml:space="preserve">» п. 1 и </w:t>
      </w:r>
      <w:proofErr w:type="spellStart"/>
      <w:r w:rsidRPr="00EB2B50">
        <w:rPr>
          <w:rFonts w:eastAsia="Times New Roman"/>
          <w:sz w:val="27"/>
          <w:szCs w:val="27"/>
          <w:lang w:eastAsia="ru-RU"/>
        </w:rPr>
        <w:t>подп</w:t>
      </w:r>
      <w:proofErr w:type="spellEnd"/>
      <w:r w:rsidRPr="00EB2B50">
        <w:rPr>
          <w:rFonts w:eastAsia="Times New Roman"/>
          <w:sz w:val="27"/>
          <w:szCs w:val="27"/>
          <w:lang w:eastAsia="ru-RU"/>
        </w:rPr>
        <w:t>. «в», «</w:t>
      </w:r>
      <w:proofErr w:type="spellStart"/>
      <w:r w:rsidRPr="00EB2B50">
        <w:rPr>
          <w:rFonts w:eastAsia="Times New Roman"/>
          <w:sz w:val="27"/>
          <w:szCs w:val="27"/>
          <w:lang w:eastAsia="ru-RU"/>
        </w:rPr>
        <w:t>д</w:t>
      </w:r>
      <w:proofErr w:type="spellEnd"/>
      <w:r w:rsidRPr="00EB2B50">
        <w:rPr>
          <w:rFonts w:eastAsia="Times New Roman"/>
          <w:sz w:val="27"/>
          <w:szCs w:val="27"/>
          <w:lang w:eastAsia="ru-RU"/>
        </w:rPr>
        <w:t>», «е</w:t>
      </w:r>
      <w:r w:rsidRPr="00EB2B50">
        <w:rPr>
          <w:rFonts w:eastAsia="Times New Roman"/>
          <w:sz w:val="27"/>
          <w:szCs w:val="27"/>
          <w:vertAlign w:val="superscript"/>
          <w:lang w:eastAsia="ru-RU"/>
        </w:rPr>
        <w:t>1</w:t>
      </w:r>
      <w:r w:rsidRPr="00EB2B50">
        <w:rPr>
          <w:rFonts w:eastAsia="Times New Roman"/>
          <w:sz w:val="27"/>
          <w:szCs w:val="27"/>
          <w:lang w:eastAsia="ru-RU"/>
        </w:rPr>
        <w:t>» и «е</w:t>
      </w:r>
      <w:r w:rsidRPr="00EB2B50">
        <w:rPr>
          <w:rFonts w:eastAsia="Times New Roman"/>
          <w:sz w:val="27"/>
          <w:szCs w:val="27"/>
          <w:vertAlign w:val="superscript"/>
          <w:lang w:eastAsia="ru-RU"/>
        </w:rPr>
        <w:t>2</w:t>
      </w:r>
      <w:r w:rsidRPr="00EB2B50">
        <w:rPr>
          <w:rFonts w:eastAsia="Times New Roman"/>
          <w:sz w:val="27"/>
          <w:szCs w:val="27"/>
          <w:lang w:eastAsia="ru-RU"/>
        </w:rPr>
        <w:t xml:space="preserve">» п. </w:t>
      </w:r>
      <w:proofErr w:type="gramStart"/>
      <w:r w:rsidRPr="00EB2B50">
        <w:rPr>
          <w:rFonts w:eastAsia="Times New Roman"/>
          <w:sz w:val="27"/>
          <w:szCs w:val="27"/>
          <w:lang w:eastAsia="ru-RU"/>
        </w:rPr>
        <w:t>2 ст. 51 Федерального закона «О воинской обязанности и в</w:t>
      </w:r>
      <w:r w:rsidRPr="00EB2B50">
        <w:rPr>
          <w:rFonts w:eastAsia="Times New Roman"/>
          <w:sz w:val="27"/>
          <w:szCs w:val="27"/>
          <w:lang w:eastAsia="ru-RU"/>
        </w:rPr>
        <w:t>о</w:t>
      </w:r>
      <w:r w:rsidRPr="00EB2B50">
        <w:rPr>
          <w:rFonts w:eastAsia="Times New Roman"/>
          <w:sz w:val="27"/>
          <w:szCs w:val="27"/>
          <w:lang w:eastAsia="ru-RU"/>
        </w:rPr>
        <w:t>енной службе»).</w:t>
      </w:r>
      <w:proofErr w:type="gramEnd"/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EB2B50">
        <w:rPr>
          <w:rFonts w:eastAsia="Times New Roman"/>
          <w:sz w:val="27"/>
          <w:szCs w:val="27"/>
          <w:lang w:eastAsia="ru-RU"/>
        </w:rPr>
        <w:t>По делу установлено, что каких-либо причин для ограничения права административного истца на выбор основания увольнения у командования не имелось.</w:t>
      </w:r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EB2B50">
        <w:rPr>
          <w:rFonts w:eastAsia="Times New Roman"/>
          <w:sz w:val="27"/>
          <w:szCs w:val="27"/>
          <w:lang w:eastAsia="ru-RU"/>
        </w:rPr>
        <w:t>В силу требований, содержащихся в п. 14 ст. 34 Положения о порядке прохождения военной службы, увольнению военнослужащего должен предшествовать комплекс мероприятий, направленных на соблюдение прав военнослужащих.</w:t>
      </w:r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EB2B50">
        <w:rPr>
          <w:rFonts w:eastAsia="Times New Roman"/>
          <w:sz w:val="27"/>
          <w:szCs w:val="27"/>
          <w:lang w:eastAsia="ru-RU"/>
        </w:rPr>
        <w:t xml:space="preserve">В соответствии с абзацами третьим и пятым п. 23 Инструкции об организации военно-врачебной экспертизы в органах федеральной службы безопасности, утвержденной приказом ФСБ России от 8 апреля 2016 г. № 241, направление на освидетельствование военнослужащих, подлежащих увольнению с военной </w:t>
      </w:r>
      <w:r w:rsidRPr="00EB2B50">
        <w:rPr>
          <w:rFonts w:eastAsia="Times New Roman"/>
          <w:sz w:val="27"/>
          <w:szCs w:val="27"/>
          <w:lang w:eastAsia="ru-RU"/>
        </w:rPr>
        <w:lastRenderedPageBreak/>
        <w:t xml:space="preserve">службы, обратившихся с рапортом о проведении им освидетельствования, осуществляется в обязательном порядке. </w:t>
      </w:r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EB2B50">
        <w:rPr>
          <w:rFonts w:eastAsia="Times New Roman"/>
          <w:sz w:val="27"/>
          <w:szCs w:val="27"/>
          <w:lang w:eastAsia="ru-RU"/>
        </w:rPr>
        <w:t>Пунктами 10 и 11 Порядка оформления и представления документов, касающихся назначения на воинскую должность, освобождения от воинской должности, зачисления в распоряжение руководителя (начальника) и увольнения с военной службы военнослужащих органов федеральной службы безопасности, утвержденного приказом ФСБ России от 15 августа 2000 г. № 445, действовавшего в период возникновения спорных правоотношений, предусмотрено, что при увольнении с военной службы на военнослужащих органов безопасности</w:t>
      </w:r>
      <w:proofErr w:type="gramEnd"/>
      <w:r w:rsidRPr="00EB2B50">
        <w:rPr>
          <w:rFonts w:eastAsia="Times New Roman"/>
          <w:sz w:val="27"/>
          <w:szCs w:val="27"/>
          <w:lang w:eastAsia="ru-RU"/>
        </w:rPr>
        <w:t xml:space="preserve"> оформляются представления. В пункте «Категория годности к военной службе» представления указывается полная формулировка категории годности, номер и дата заключения (справки, свидетельства о болезни), каким военно-медицинским учреждением вынесено заключение. Если военнослужащий отказался от прохождения медицинского освидетельствования, то в указанном пункте представления делается запись «От прох</w:t>
      </w:r>
      <w:r w:rsidRPr="00EB2B50">
        <w:rPr>
          <w:rFonts w:eastAsia="Times New Roman"/>
          <w:sz w:val="27"/>
          <w:szCs w:val="27"/>
          <w:lang w:eastAsia="ru-RU"/>
        </w:rPr>
        <w:t>о</w:t>
      </w:r>
      <w:r w:rsidRPr="00EB2B50">
        <w:rPr>
          <w:rFonts w:eastAsia="Times New Roman"/>
          <w:sz w:val="27"/>
          <w:szCs w:val="27"/>
          <w:lang w:eastAsia="ru-RU"/>
        </w:rPr>
        <w:t>ждения ЦВВК (ВВК) отказался».</w:t>
      </w:r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EB2B50">
        <w:rPr>
          <w:rFonts w:eastAsia="Times New Roman"/>
          <w:sz w:val="27"/>
          <w:szCs w:val="27"/>
          <w:lang w:eastAsia="ru-RU"/>
        </w:rPr>
        <w:t>Как установлено в судебном заседании, Г. не только не отказывался от медицинского освидетельствования, но и просил не увольнять его с военной службы до заключения военно-врачебной комиссии. Данных об уклонении его от лечения или освидетельствования материалы дела не содержат, а длительное проведение медицинского освидетельствования, с 24 января по 7 декабря 2018 г., было обусловлено необходимостью медицинского обследования и лечения, о чем командование воинской части ставилось в известность.</w:t>
      </w:r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EB2B50">
        <w:rPr>
          <w:rFonts w:eastAsia="Times New Roman"/>
          <w:sz w:val="27"/>
          <w:szCs w:val="27"/>
          <w:lang w:eastAsia="ru-RU"/>
        </w:rPr>
        <w:t>С учетом изложенного решение об увольнении Г. не могло быть принято до получения утвержденного заключения военно-врачебной комиссии и выяснения основания увольнения с военной службы в условиях появившег</w:t>
      </w:r>
      <w:r w:rsidRPr="00EB2B50">
        <w:rPr>
          <w:rFonts w:eastAsia="Times New Roman"/>
          <w:sz w:val="27"/>
          <w:szCs w:val="27"/>
          <w:lang w:eastAsia="ru-RU"/>
        </w:rPr>
        <w:t>о</w:t>
      </w:r>
      <w:r w:rsidRPr="00EB2B50">
        <w:rPr>
          <w:rFonts w:eastAsia="Times New Roman"/>
          <w:sz w:val="27"/>
          <w:szCs w:val="27"/>
          <w:lang w:eastAsia="ru-RU"/>
        </w:rPr>
        <w:t>ся у военнослужащего права выбора такого основания.</w:t>
      </w:r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EB2B50">
        <w:rPr>
          <w:rFonts w:eastAsia="Times New Roman"/>
          <w:sz w:val="27"/>
          <w:szCs w:val="27"/>
          <w:lang w:eastAsia="ru-RU"/>
        </w:rPr>
        <w:t>При таких обстоятельствах приказ об увольнении Г. с военной службы в части указания в нем основания увольнения не соответствовал предписаниям вышеприведенных правовых актов и нарушал право административного истца на увольнение по избранному основанию.</w:t>
      </w:r>
    </w:p>
    <w:p w:rsidR="00EB2B50" w:rsidRPr="00EB2B50" w:rsidRDefault="00EB2B50" w:rsidP="00EB2B50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EB2B50">
        <w:rPr>
          <w:rFonts w:eastAsia="Times New Roman"/>
          <w:sz w:val="27"/>
          <w:szCs w:val="27"/>
          <w:lang w:eastAsia="ru-RU"/>
        </w:rPr>
        <w:t>Поскольку административный истец в рапорте от 17 декабря 2018 г. заявил, что если увольнение его с военной службы на момент подачи рапорта уже состоялось, то достаточным будет внесение изменений в данный приказ в части основания увольнения, окружной военный суд, руководствуясь разъяснениями п. 49 постановления Пленума Верховного Суда РФ от 29 мая 2014 г. № 8 «О практике применения судами законод</w:t>
      </w:r>
      <w:r w:rsidRPr="00EB2B50">
        <w:rPr>
          <w:rFonts w:eastAsia="Times New Roman"/>
          <w:sz w:val="27"/>
          <w:szCs w:val="27"/>
          <w:lang w:eastAsia="ru-RU"/>
        </w:rPr>
        <w:t>а</w:t>
      </w:r>
      <w:r w:rsidRPr="00EB2B50">
        <w:rPr>
          <w:rFonts w:eastAsia="Times New Roman"/>
          <w:sz w:val="27"/>
          <w:szCs w:val="27"/>
          <w:lang w:eastAsia="ru-RU"/>
        </w:rPr>
        <w:t>тельства о</w:t>
      </w:r>
      <w:proofErr w:type="gramEnd"/>
      <w:r w:rsidRPr="00EB2B50">
        <w:rPr>
          <w:rFonts w:eastAsia="Times New Roman"/>
          <w:sz w:val="27"/>
          <w:szCs w:val="27"/>
          <w:lang w:eastAsia="ru-RU"/>
        </w:rPr>
        <w:t xml:space="preserve"> воинской обязанности, военной службе и статусе военнослуж</w:t>
      </w:r>
      <w:r w:rsidRPr="00EB2B50">
        <w:rPr>
          <w:rFonts w:eastAsia="Times New Roman"/>
          <w:sz w:val="27"/>
          <w:szCs w:val="27"/>
          <w:lang w:eastAsia="ru-RU"/>
        </w:rPr>
        <w:t>а</w:t>
      </w:r>
      <w:r w:rsidRPr="00EB2B50">
        <w:rPr>
          <w:rFonts w:eastAsia="Times New Roman"/>
          <w:sz w:val="27"/>
          <w:szCs w:val="27"/>
          <w:lang w:eastAsia="ru-RU"/>
        </w:rPr>
        <w:t>щих», возложил на воинское должностное лицо обязанность по изменению основания увольнения Г. на увольнение по состоянию здоровья без восст</w:t>
      </w:r>
      <w:r w:rsidRPr="00EB2B50">
        <w:rPr>
          <w:rFonts w:eastAsia="Times New Roman"/>
          <w:sz w:val="27"/>
          <w:szCs w:val="27"/>
          <w:lang w:eastAsia="ru-RU"/>
        </w:rPr>
        <w:t>а</w:t>
      </w:r>
      <w:r w:rsidRPr="00EB2B50">
        <w:rPr>
          <w:rFonts w:eastAsia="Times New Roman"/>
          <w:sz w:val="27"/>
          <w:szCs w:val="27"/>
          <w:lang w:eastAsia="ru-RU"/>
        </w:rPr>
        <w:t>новления его на военной службе.</w:t>
      </w:r>
    </w:p>
    <w:p w:rsidR="00EB2B50" w:rsidRPr="0047501D" w:rsidRDefault="00EB2B50" w:rsidP="00EB2B50">
      <w:pPr>
        <w:tabs>
          <w:tab w:val="left" w:pos="426"/>
        </w:tabs>
        <w:autoSpaceDE w:val="0"/>
        <w:autoSpaceDN w:val="0"/>
        <w:adjustRightInd w:val="0"/>
        <w:ind w:firstLine="426"/>
        <w:jc w:val="both"/>
        <w:rPr>
          <w:rFonts w:ascii="Tahoma" w:hAnsi="Tahoma" w:cs="Tahoma"/>
          <w:b/>
          <w:sz w:val="27"/>
          <w:szCs w:val="27"/>
        </w:rPr>
      </w:pPr>
    </w:p>
    <w:p w:rsidR="00EB2B50" w:rsidRDefault="00EB2B50" w:rsidP="00EB2B50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EB2B50" w:rsidRPr="00570B72" w:rsidRDefault="00EB2B50" w:rsidP="00EB2B50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в 2019 году.</w:t>
      </w:r>
    </w:p>
    <w:p w:rsidR="00EB2B50" w:rsidRDefault="00EB2B50" w:rsidP="00EB2B50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570B72">
        <w:rPr>
          <w:i/>
          <w:color w:val="auto"/>
          <w:sz w:val="27"/>
          <w:szCs w:val="27"/>
        </w:rPr>
        <w:t>У</w:t>
      </w:r>
      <w:r w:rsidRPr="00570B72">
        <w:rPr>
          <w:i/>
          <w:color w:val="auto"/>
          <w:szCs w:val="28"/>
        </w:rPr>
        <w:t>твержден</w:t>
      </w:r>
      <w:proofErr w:type="gramEnd"/>
      <w:r w:rsidRPr="00570B72">
        <w:rPr>
          <w:i/>
          <w:color w:val="auto"/>
          <w:szCs w:val="28"/>
        </w:rPr>
        <w:t xml:space="preserve"> П</w:t>
      </w:r>
      <w:r w:rsidRPr="00570B72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EB2B50" w:rsidRPr="00570B72" w:rsidRDefault="00EB2B50" w:rsidP="00EB2B50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17 июня 2020 г.</w:t>
      </w:r>
    </w:p>
    <w:p w:rsidR="00755C3E" w:rsidRDefault="00755C3E"/>
    <w:sectPr w:rsidR="00755C3E" w:rsidSect="00EB2B50">
      <w:pgSz w:w="11906" w:h="16838"/>
      <w:pgMar w:top="851" w:right="567" w:bottom="851" w:left="1701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40"/>
  <w:displayHorizontalDrawingGridEvery w:val="2"/>
  <w:characterSpacingControl w:val="doNotCompress"/>
  <w:compat/>
  <w:rsids>
    <w:rsidRoot w:val="00EB2B50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EB2B50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2B50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EB2B50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EB2B50"/>
    <w:pPr>
      <w:shd w:val="clear" w:color="auto" w:fill="FFFFFF"/>
      <w:spacing w:before="420" w:after="180" w:line="240" w:lineRule="atLeast"/>
    </w:pPr>
    <w:rPr>
      <w:rFonts w:eastAsiaTheme="minorHAnsi"/>
      <w:sz w:val="14"/>
      <w:szCs w:val="14"/>
      <w:lang w:eastAsia="en-US"/>
    </w:rPr>
  </w:style>
  <w:style w:type="character" w:customStyle="1" w:styleId="a3">
    <w:name w:val="Основной текст Знак"/>
    <w:basedOn w:val="a0"/>
    <w:link w:val="a4"/>
    <w:rsid w:val="00EB2B50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EB2B50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EB2B50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875</Words>
  <Characters>4991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2020-07-09T11:37:00Z</dcterms:created>
  <dcterms:modified xsi:type="dcterms:W3CDTF">2020-07-09T11:40:00Z</dcterms:modified>
</cp:coreProperties>
</file>