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7C07" w:rsidRPr="004A7C07" w:rsidRDefault="004A7C07" w:rsidP="004A7C07">
      <w:pPr>
        <w:pStyle w:val="Bodytext370"/>
        <w:tabs>
          <w:tab w:val="left" w:pos="426"/>
        </w:tabs>
        <w:spacing w:before="0" w:after="0" w:line="240" w:lineRule="auto"/>
        <w:ind w:right="-284" w:firstLine="426"/>
        <w:jc w:val="both"/>
        <w:rPr>
          <w:rFonts w:eastAsia="Times New Roman"/>
          <w:b/>
          <w:sz w:val="28"/>
          <w:szCs w:val="28"/>
          <w:lang w:eastAsia="ru-RU"/>
        </w:rPr>
      </w:pPr>
      <w:r w:rsidRPr="004A7C07">
        <w:rPr>
          <w:rFonts w:eastAsia="Times New Roman"/>
          <w:b/>
          <w:sz w:val="28"/>
          <w:szCs w:val="28"/>
          <w:lang w:eastAsia="ru-RU"/>
        </w:rPr>
        <w:t xml:space="preserve">26. </w:t>
      </w:r>
      <w:proofErr w:type="gramStart"/>
      <w:r w:rsidRPr="004A7C07">
        <w:rPr>
          <w:rFonts w:eastAsia="Times New Roman"/>
          <w:b/>
          <w:sz w:val="28"/>
          <w:szCs w:val="28"/>
          <w:lang w:eastAsia="ru-RU"/>
        </w:rPr>
        <w:t>Денежные средства, выплаченные военнослужащему в качестве ежемесячного денежного довольствия за период самовольного оставления воинской части или места военной службы сверх оклада по воинскому званию и оклада по воинской должности по 1 тарифному разряду вследствие несвоевременного внесения соответствующих сведений по вине воинских должностных лиц в базу данных СПО «Алушта», являются неосновательным обогащением.</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Решением Воронежского гарнизонного военного суда отказано в удовлетворении </w:t>
      </w:r>
      <w:r w:rsidRPr="004A7C07">
        <w:rPr>
          <w:bCs/>
          <w:w w:val="101"/>
          <w:sz w:val="28"/>
          <w:szCs w:val="28"/>
        </w:rPr>
        <w:t xml:space="preserve">искового заявления о взыскании с Б. в пользу федерального казенного учреждения «Единый расчетный центр Министерства обороны Российской Федерации» (далее – </w:t>
      </w:r>
      <w:r w:rsidRPr="004A7C07">
        <w:rPr>
          <w:sz w:val="28"/>
          <w:szCs w:val="28"/>
        </w:rPr>
        <w:t>ФКУ «ЕРЦ МО РФ»</w:t>
      </w:r>
      <w:r w:rsidRPr="004A7C07">
        <w:rPr>
          <w:bCs/>
          <w:w w:val="101"/>
          <w:sz w:val="28"/>
          <w:szCs w:val="28"/>
        </w:rPr>
        <w:t>)</w:t>
      </w:r>
      <w:r w:rsidRPr="004A7C07">
        <w:rPr>
          <w:rFonts w:eastAsia="Times New Roman"/>
          <w:sz w:val="28"/>
          <w:szCs w:val="28"/>
          <w:lang w:eastAsia="ru-RU"/>
        </w:rPr>
        <w:t xml:space="preserve"> излишне выплаченных денежных средств в сумме 64 049 руб.</w:t>
      </w:r>
      <w:r>
        <w:rPr>
          <w:rFonts w:eastAsia="Times New Roman"/>
          <w:sz w:val="28"/>
          <w:szCs w:val="28"/>
          <w:lang w:eastAsia="ru-RU"/>
        </w:rPr>
        <w:t xml:space="preserve"> </w:t>
      </w:r>
      <w:r w:rsidRPr="004A7C07">
        <w:rPr>
          <w:rFonts w:eastAsia="Times New Roman"/>
          <w:sz w:val="28"/>
          <w:szCs w:val="28"/>
          <w:lang w:eastAsia="ru-RU"/>
        </w:rPr>
        <w:t>77 коп</w:t>
      </w:r>
      <w:proofErr w:type="gramStart"/>
      <w:r w:rsidRPr="004A7C07">
        <w:rPr>
          <w:rFonts w:eastAsia="Times New Roman"/>
          <w:sz w:val="28"/>
          <w:szCs w:val="28"/>
          <w:lang w:eastAsia="ru-RU"/>
        </w:rPr>
        <w:t>.</w:t>
      </w:r>
      <w:proofErr w:type="gramEnd"/>
      <w:r w:rsidRPr="004A7C07">
        <w:rPr>
          <w:rFonts w:eastAsia="Times New Roman"/>
          <w:sz w:val="28"/>
          <w:szCs w:val="28"/>
          <w:lang w:eastAsia="ru-RU"/>
        </w:rPr>
        <w:t xml:space="preserve"> – </w:t>
      </w:r>
      <w:proofErr w:type="gramStart"/>
      <w:r w:rsidRPr="004A7C07">
        <w:rPr>
          <w:rFonts w:eastAsia="Times New Roman"/>
          <w:sz w:val="28"/>
          <w:szCs w:val="28"/>
          <w:lang w:eastAsia="ru-RU"/>
        </w:rPr>
        <w:t>д</w:t>
      </w:r>
      <w:proofErr w:type="gramEnd"/>
      <w:r w:rsidRPr="004A7C07">
        <w:rPr>
          <w:rFonts w:eastAsia="Times New Roman"/>
          <w:sz w:val="28"/>
          <w:szCs w:val="28"/>
          <w:lang w:eastAsia="ru-RU"/>
        </w:rPr>
        <w:t xml:space="preserve">енежного довольствия за период самовольного оставления воинской части сверх оклада по воинскому званию и оклада по воинской должности по 1 тарифному разряду.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Апелляционным определением Московского окружного военного суда решение суда первой инстанции отменено, и по делу принято новое решение об удовлетворении исковых требований по следующим основаниям.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Из материалов дела следует, что вступившим в законную силу приговором Воронежского гарнизонного военного суда от 29 апреля</w:t>
      </w:r>
      <w:r w:rsidRPr="004A7C07">
        <w:rPr>
          <w:rFonts w:eastAsia="Times New Roman"/>
          <w:sz w:val="28"/>
          <w:szCs w:val="28"/>
          <w:lang w:eastAsia="ru-RU"/>
        </w:rPr>
        <w:br/>
        <w:t>2016 г. Б., проходивший военную службу по контракту, признан виновным в совершении преступления, предусмотренного ч. 4 ст. 337</w:t>
      </w:r>
      <w:r>
        <w:rPr>
          <w:rFonts w:eastAsia="Times New Roman"/>
          <w:sz w:val="28"/>
          <w:szCs w:val="28"/>
          <w:lang w:eastAsia="ru-RU"/>
        </w:rPr>
        <w:t xml:space="preserve"> </w:t>
      </w:r>
      <w:r w:rsidRPr="004A7C07">
        <w:rPr>
          <w:rFonts w:eastAsia="Times New Roman"/>
          <w:sz w:val="28"/>
          <w:szCs w:val="28"/>
          <w:lang w:eastAsia="ru-RU"/>
        </w:rPr>
        <w:t>УК РФ. Судом установлено, что Б. в установленный срок 23 ноября</w:t>
      </w:r>
      <w:r w:rsidRPr="004A7C07">
        <w:rPr>
          <w:rFonts w:eastAsia="Times New Roman"/>
          <w:sz w:val="28"/>
          <w:szCs w:val="28"/>
          <w:lang w:eastAsia="ru-RU"/>
        </w:rPr>
        <w:br/>
        <w:t>2015 г. не прибыл на службу без уважительных причин из отпуска и продолжил находиться по месту жительства до 5 февраля 2016 г. –</w:t>
      </w:r>
      <w:r w:rsidRPr="004A7C07">
        <w:rPr>
          <w:rFonts w:eastAsia="Times New Roman"/>
          <w:sz w:val="28"/>
          <w:szCs w:val="28"/>
          <w:lang w:eastAsia="ru-RU"/>
        </w:rPr>
        <w:br/>
        <w:t xml:space="preserve">даты задержания его сотрудниками полиции и доставления в следственный орган.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При этом в соответствии с приказом командира воинской части от</w:t>
      </w:r>
      <w:r w:rsidRPr="004A7C07">
        <w:rPr>
          <w:rFonts w:eastAsia="Times New Roman"/>
          <w:sz w:val="28"/>
          <w:szCs w:val="28"/>
          <w:lang w:eastAsia="ru-RU"/>
        </w:rPr>
        <w:br/>
        <w:t xml:space="preserve">24 марта 2016 г. Б. с 9 декабря 2015 г. полагался самовольно оставившим часть, а приказом от 30 марта 2016 г. ему, как самовольно оставившему воинскую часть с 9 декабря 2015 г., приостановлена выплата денежного довольствия.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Вместе с тем денежное довольствие за период с декабря 2015 г. по февраль 2016 г. было выплачено Б. </w:t>
      </w:r>
      <w:r w:rsidRPr="004A7C07">
        <w:rPr>
          <w:sz w:val="28"/>
          <w:szCs w:val="28"/>
        </w:rPr>
        <w:t>ФКУ «ЕРЦ МО РФ»</w:t>
      </w:r>
      <w:r w:rsidRPr="004A7C07">
        <w:rPr>
          <w:rFonts w:eastAsia="Times New Roman"/>
          <w:sz w:val="28"/>
          <w:szCs w:val="28"/>
          <w:lang w:eastAsia="ru-RU"/>
        </w:rPr>
        <w:t xml:space="preserve"> в полном объеме.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Отказывая в удовлетворении иска, гарнизонный военный суд исходил из того, что приказ о приостановлении выплаты Б. денежного довольствия с 9 декабря 2015 г. издан командиром воинской части только 30 марта 2016 г., в </w:t>
      </w:r>
      <w:proofErr w:type="gramStart"/>
      <w:r w:rsidRPr="004A7C07">
        <w:rPr>
          <w:rFonts w:eastAsia="Times New Roman"/>
          <w:sz w:val="28"/>
          <w:szCs w:val="28"/>
          <w:lang w:eastAsia="ru-RU"/>
        </w:rPr>
        <w:t>связи</w:t>
      </w:r>
      <w:proofErr w:type="gramEnd"/>
      <w:r w:rsidRPr="004A7C07">
        <w:rPr>
          <w:rFonts w:eastAsia="Times New Roman"/>
          <w:sz w:val="28"/>
          <w:szCs w:val="28"/>
          <w:lang w:eastAsia="ru-RU"/>
        </w:rPr>
        <w:t xml:space="preserve"> с чем выплата ответчику спорных денежных средств в виде денежного довольствия за период с 9 декабря 2015 г. по 29 февраля 2016 г. была произведена в </w:t>
      </w:r>
      <w:proofErr w:type="gramStart"/>
      <w:r w:rsidRPr="004A7C07">
        <w:rPr>
          <w:rFonts w:eastAsia="Times New Roman"/>
          <w:sz w:val="28"/>
          <w:szCs w:val="28"/>
          <w:lang w:eastAsia="ru-RU"/>
        </w:rPr>
        <w:t>размере</w:t>
      </w:r>
      <w:proofErr w:type="gramEnd"/>
      <w:r w:rsidRPr="004A7C07">
        <w:rPr>
          <w:rFonts w:eastAsia="Times New Roman"/>
          <w:sz w:val="28"/>
          <w:szCs w:val="28"/>
          <w:lang w:eastAsia="ru-RU"/>
        </w:rPr>
        <w:t xml:space="preserve">, установленном в период соответствующих выплат.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Однако такой вывод основан на неправильном истолковании норм материального права.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Правоотношения, связанные с обеспечением военнослужащих денежным довольствием, регулируются Федеральным </w:t>
      </w:r>
      <w:hyperlink r:id="rId6" w:history="1">
        <w:r w:rsidRPr="004A7C07">
          <w:rPr>
            <w:rFonts w:eastAsia="Times New Roman"/>
            <w:sz w:val="28"/>
            <w:szCs w:val="28"/>
            <w:lang w:eastAsia="ru-RU"/>
          </w:rPr>
          <w:t>законом</w:t>
        </w:r>
      </w:hyperlink>
      <w:r w:rsidRPr="004A7C07">
        <w:rPr>
          <w:rFonts w:eastAsia="Times New Roman"/>
          <w:sz w:val="28"/>
          <w:szCs w:val="28"/>
          <w:lang w:eastAsia="ru-RU"/>
        </w:rPr>
        <w:t xml:space="preserve"> «О денежном довольствии военнослужащих и предоставлении им отдельных выплат», в соответствии с которым порядок обеспечения военнослужащих денежным довольствием </w:t>
      </w:r>
      <w:r w:rsidRPr="004A7C07">
        <w:rPr>
          <w:rFonts w:eastAsia="Times New Roman"/>
          <w:sz w:val="28"/>
          <w:szCs w:val="28"/>
          <w:lang w:eastAsia="ru-RU"/>
        </w:rPr>
        <w:lastRenderedPageBreak/>
        <w:t>определяется федеральными органами исполнительной власти, в которых федеральным законом предусмотрена военная служба.</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Приказом Министра обороны Российской Федерации от 30 декабря 2011 г. № 2700 утвержден </w:t>
      </w:r>
      <w:hyperlink r:id="rId7" w:history="1">
        <w:r w:rsidRPr="004A7C07">
          <w:rPr>
            <w:rFonts w:eastAsia="Times New Roman"/>
            <w:sz w:val="28"/>
            <w:szCs w:val="28"/>
            <w:lang w:eastAsia="ru-RU"/>
          </w:rPr>
          <w:t>Порядок</w:t>
        </w:r>
      </w:hyperlink>
      <w:r w:rsidRPr="004A7C07">
        <w:rPr>
          <w:rFonts w:eastAsia="Times New Roman"/>
          <w:sz w:val="28"/>
          <w:szCs w:val="28"/>
          <w:lang w:eastAsia="ru-RU"/>
        </w:rPr>
        <w:t xml:space="preserve"> обеспечения денежным довольствием военнослужащих Вооруженных Сил Российской Федерации, который действовал на момент возникновения спорных правоотношений.</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Согласно </w:t>
      </w:r>
      <w:proofErr w:type="spellStart"/>
      <w:r w:rsidRPr="004A7C07">
        <w:rPr>
          <w:rFonts w:eastAsia="Times New Roman"/>
          <w:sz w:val="28"/>
          <w:szCs w:val="28"/>
          <w:lang w:eastAsia="ru-RU"/>
        </w:rPr>
        <w:t>пп</w:t>
      </w:r>
      <w:proofErr w:type="spellEnd"/>
      <w:r w:rsidRPr="004A7C07">
        <w:rPr>
          <w:rFonts w:eastAsia="Times New Roman"/>
          <w:sz w:val="28"/>
          <w:szCs w:val="28"/>
          <w:lang w:eastAsia="ru-RU"/>
        </w:rPr>
        <w:t>. 172, 173 Порядка обеспечения денежным довольствием военнослужащих в случаях самовольного оставления военнослужащими воинской части или места военной службы продолжительностью свыше 10 суток независимо от причин оставления выплата денежного довольствия им приостанавливается со дня самовольного оставления воинской части или места военной службы, указанного в приказе соответствующего командира (начальника)</w:t>
      </w:r>
      <w:r w:rsidRPr="004A7C07">
        <w:rPr>
          <w:rStyle w:val="a5"/>
          <w:rFonts w:eastAsia="Times New Roman"/>
          <w:sz w:val="28"/>
          <w:szCs w:val="28"/>
          <w:lang w:eastAsia="ru-RU"/>
        </w:rPr>
        <w:footnoteReference w:id="2"/>
      </w:r>
      <w:r w:rsidRPr="004A7C07">
        <w:rPr>
          <w:rFonts w:eastAsia="Times New Roman"/>
          <w:sz w:val="28"/>
          <w:szCs w:val="28"/>
          <w:lang w:eastAsia="ru-RU"/>
        </w:rPr>
        <w:t xml:space="preserve">.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Выплата денежного довольствия таким военнослужащим возобновляется со дня, указанного в приказе соответствующего командира (начальника), определенного на основании разбирательства, проведенного по факту самовольного оставления воинской части или места военной службы.</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Военнослужащим, проходящим военную службу по контракту, за период самовольного оставления воинской части или места военной службы, определенный в установленном порядке приказом соответствующего командира (начальника), выплачивается оклад по воинскому званию и оклад по воинской должности по 1 тарифному разряду.</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Из анализа данных правовых норм следует, что право военнослужащего на материальное обеспечение, включающее в себя право на обеспечение денежным довольствием, обусловлено непосредственным исполнением военнослужащим обязанностей военной службы, а размер получаемого военнослужащим денежного довольствия </w:t>
      </w:r>
      <w:proofErr w:type="gramStart"/>
      <w:r w:rsidRPr="004A7C07">
        <w:rPr>
          <w:rFonts w:eastAsia="Times New Roman"/>
          <w:sz w:val="28"/>
          <w:szCs w:val="28"/>
          <w:lang w:eastAsia="ru-RU"/>
        </w:rPr>
        <w:t>зависит</w:t>
      </w:r>
      <w:proofErr w:type="gramEnd"/>
      <w:r w:rsidRPr="004A7C07">
        <w:rPr>
          <w:rFonts w:eastAsia="Times New Roman"/>
          <w:sz w:val="28"/>
          <w:szCs w:val="28"/>
          <w:lang w:eastAsia="ru-RU"/>
        </w:rPr>
        <w:t xml:space="preserve"> в том числе и от его личного отношения к исполнению обязанностей военной службы.</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 xml:space="preserve">В соответствии со ст. 37 Федерального закона «О воинской обязанности и военной службе» не признаются исполняющими обязанности военной службы военнослужащие при самовольном нахождении вне расположения воинской части, а в силу </w:t>
      </w:r>
      <w:hyperlink r:id="rId8" w:history="1">
        <w:r w:rsidRPr="004A7C07">
          <w:rPr>
            <w:rFonts w:eastAsia="Times New Roman"/>
            <w:sz w:val="28"/>
            <w:szCs w:val="28"/>
            <w:lang w:eastAsia="ru-RU"/>
          </w:rPr>
          <w:t>п. 12 ст. 38</w:t>
        </w:r>
      </w:hyperlink>
      <w:r w:rsidRPr="004A7C07">
        <w:rPr>
          <w:sz w:val="28"/>
          <w:szCs w:val="28"/>
        </w:rPr>
        <w:t xml:space="preserve"> </w:t>
      </w:r>
      <w:r w:rsidRPr="004A7C07">
        <w:rPr>
          <w:rFonts w:eastAsia="Times New Roman"/>
          <w:sz w:val="28"/>
          <w:szCs w:val="28"/>
          <w:lang w:eastAsia="ru-RU"/>
        </w:rPr>
        <w:t>Закона в срок военной службы не засчитывается время самовольного оставления воинской части или установленного за пределами воинской части места военной службы независимо от причин оставления продолжительностью</w:t>
      </w:r>
      <w:proofErr w:type="gramEnd"/>
      <w:r w:rsidRPr="004A7C07">
        <w:rPr>
          <w:rFonts w:eastAsia="Times New Roman"/>
          <w:sz w:val="28"/>
          <w:szCs w:val="28"/>
          <w:lang w:eastAsia="ru-RU"/>
        </w:rPr>
        <w:t xml:space="preserve"> свыше 10 суток.</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Таким образом, правом на получение денежного довольствия в полном размере за период с 9 декабря 2015 г. по 29 февраля 2016 г. Б. не обладал, поскольку обязанности военной службы в этот период не исполнял, а имел право на получение за указанный период оклада по воинскому званию и оклад по воинской должности по 1 тарифному разряду.</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lastRenderedPageBreak/>
        <w:t>Причиной, по которой денежное довольствие за указанный период было выплачено ему в большем, чем следовало, размере, явилось несвоевременное внесение в единую базу данных СПО «Алушта» сведений о неявке ответчика в срок без уважительных причин на службу.</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Согласно </w:t>
      </w:r>
      <w:hyperlink r:id="rId9" w:history="1">
        <w:r w:rsidRPr="004A7C07">
          <w:rPr>
            <w:rFonts w:eastAsia="Times New Roman"/>
            <w:sz w:val="28"/>
            <w:szCs w:val="28"/>
            <w:lang w:eastAsia="ru-RU"/>
          </w:rPr>
          <w:t>п. 3 ст. 1109</w:t>
        </w:r>
      </w:hyperlink>
      <w:r w:rsidRPr="004A7C07">
        <w:rPr>
          <w:rFonts w:eastAsia="Times New Roman"/>
          <w:sz w:val="28"/>
          <w:szCs w:val="28"/>
          <w:lang w:eastAsia="ru-RU"/>
        </w:rPr>
        <w:t xml:space="preserve"> ГК РФ не подлежит возврату в качестве неосновательного обогащения заработная плата и приравненные к ней платежи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Кроме того, п. 6 Порядка обеспечения денежным довольствием военнослужащих определено, что денежное довольствие, выплаченное в порядке и размерах, действовавших на день выплаты, возврату не подлежит, если право на него полностью или частично военнослужащими впоследствии утрачено, кроме случаев возврата излишне выплаченных сумм вследствие счетных ошибок.</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 xml:space="preserve">Учитывая, что начисление денежных средств военнослужащим производится </w:t>
      </w:r>
      <w:r w:rsidRPr="004A7C07">
        <w:rPr>
          <w:sz w:val="28"/>
          <w:szCs w:val="28"/>
        </w:rPr>
        <w:t>ФКУ «ЕРЦ МО РФ»</w:t>
      </w:r>
      <w:r w:rsidRPr="004A7C07">
        <w:rPr>
          <w:rFonts w:eastAsia="Times New Roman"/>
          <w:sz w:val="28"/>
          <w:szCs w:val="28"/>
          <w:lang w:eastAsia="ru-RU"/>
        </w:rPr>
        <w:t xml:space="preserve"> в автоматическом режиме, под счетной ошибкой следует понимать ошибки, не только допущенные в арифметических действиях, но и связанные с неправильным начислением денежного довольствия или иных выплат, произведенных в результате внесения в СПО «Алушта» недостоверной, несвоевременной или неполной информации.</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Принимая во внимание, что выплата спорных денежных средств произведена Б. вследствие несвоевременного внесения в единую базу данных СПО «Алушта» сведений о неявке ответчика в срок без уважительных причин на службу, то есть вследствие счетной ошибки, перечисленные Б. денежные средства, составляющие разницу между выплаченным денежным довольствием и подлежащим к выплате по</w:t>
      </w:r>
      <w:r>
        <w:rPr>
          <w:rFonts w:eastAsia="Times New Roman"/>
          <w:sz w:val="28"/>
          <w:szCs w:val="28"/>
          <w:lang w:eastAsia="ru-RU"/>
        </w:rPr>
        <w:t xml:space="preserve"> </w:t>
      </w:r>
      <w:r w:rsidRPr="004A7C07">
        <w:rPr>
          <w:rFonts w:eastAsia="Times New Roman"/>
          <w:sz w:val="28"/>
          <w:szCs w:val="28"/>
          <w:lang w:eastAsia="ru-RU"/>
        </w:rPr>
        <w:t>1 тарифному разряду, в сумме 28 267 руб. 93 коп</w:t>
      </w:r>
      <w:proofErr w:type="gramEnd"/>
      <w:r w:rsidRPr="004A7C07">
        <w:rPr>
          <w:rFonts w:eastAsia="Times New Roman"/>
          <w:sz w:val="28"/>
          <w:szCs w:val="28"/>
          <w:lang w:eastAsia="ru-RU"/>
        </w:rPr>
        <w:t xml:space="preserve">. подлежат возврату, как </w:t>
      </w:r>
      <w:proofErr w:type="gramStart"/>
      <w:r w:rsidRPr="004A7C07">
        <w:rPr>
          <w:rFonts w:eastAsia="Times New Roman"/>
          <w:sz w:val="28"/>
          <w:szCs w:val="28"/>
          <w:lang w:eastAsia="ru-RU"/>
        </w:rPr>
        <w:t>полученные</w:t>
      </w:r>
      <w:proofErr w:type="gramEnd"/>
      <w:r w:rsidRPr="004A7C07">
        <w:rPr>
          <w:rFonts w:eastAsia="Times New Roman"/>
          <w:sz w:val="28"/>
          <w:szCs w:val="28"/>
          <w:lang w:eastAsia="ru-RU"/>
        </w:rPr>
        <w:t xml:space="preserve"> без законных оснований.</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То обстоятельство, что приказ командира о приостановлении</w:t>
      </w:r>
      <w:r w:rsidRPr="004A7C07">
        <w:rPr>
          <w:rFonts w:eastAsia="Times New Roman"/>
          <w:sz w:val="28"/>
          <w:szCs w:val="28"/>
          <w:lang w:eastAsia="ru-RU"/>
        </w:rPr>
        <w:br/>
        <w:t>с 9 декабря 2015 г. выплаты денежного довольствия Б., как самовольно оставившему воинскую часть, был издан только 30 марта 2016 г.</w:t>
      </w:r>
      <w:proofErr w:type="gramEnd"/>
      <w:r w:rsidRPr="004A7C07">
        <w:rPr>
          <w:rFonts w:eastAsia="Times New Roman"/>
          <w:sz w:val="28"/>
          <w:szCs w:val="28"/>
          <w:lang w:eastAsia="ru-RU"/>
        </w:rPr>
        <w:t>, не может служить основанием для отказа во взыскании указанных выплат, поскольку правом на получение денежного довольствия за период</w:t>
      </w:r>
      <w:r>
        <w:rPr>
          <w:rFonts w:eastAsia="Times New Roman"/>
          <w:sz w:val="28"/>
          <w:szCs w:val="28"/>
          <w:lang w:eastAsia="ru-RU"/>
        </w:rPr>
        <w:t xml:space="preserve"> </w:t>
      </w:r>
      <w:r w:rsidRPr="004A7C07">
        <w:rPr>
          <w:rFonts w:eastAsia="Times New Roman"/>
          <w:sz w:val="28"/>
          <w:szCs w:val="28"/>
          <w:lang w:eastAsia="ru-RU"/>
        </w:rPr>
        <w:t xml:space="preserve">с 9 декабря 2015 г. </w:t>
      </w:r>
      <w:proofErr w:type="gramStart"/>
      <w:r w:rsidRPr="004A7C07">
        <w:rPr>
          <w:rFonts w:eastAsia="Times New Roman"/>
          <w:sz w:val="28"/>
          <w:szCs w:val="28"/>
          <w:lang w:eastAsia="ru-RU"/>
        </w:rPr>
        <w:t>по 29 февраля 2016 г. в полном размере он</w:t>
      </w:r>
      <w:proofErr w:type="gramEnd"/>
      <w:r w:rsidRPr="004A7C07">
        <w:rPr>
          <w:rFonts w:eastAsia="Times New Roman"/>
          <w:sz w:val="28"/>
          <w:szCs w:val="28"/>
          <w:lang w:eastAsia="ru-RU"/>
        </w:rPr>
        <w:t xml:space="preserve"> не обладал вне зависимости от даты издания указанного приказа. </w:t>
      </w:r>
    </w:p>
    <w:p w:rsidR="004A7C07" w:rsidRPr="004A7C07" w:rsidRDefault="004A7C07" w:rsidP="004A7C07">
      <w:pPr>
        <w:pStyle w:val="a7"/>
        <w:spacing w:after="0"/>
        <w:ind w:right="-284" w:firstLine="709"/>
        <w:jc w:val="center"/>
        <w:rPr>
          <w:i/>
          <w:color w:val="auto"/>
          <w:szCs w:val="28"/>
        </w:rPr>
      </w:pPr>
    </w:p>
    <w:p w:rsidR="004A7C07" w:rsidRPr="004A7C07" w:rsidRDefault="004A7C07" w:rsidP="004A7C07">
      <w:pPr>
        <w:pStyle w:val="a7"/>
        <w:spacing w:after="0"/>
        <w:ind w:right="-284" w:firstLine="709"/>
        <w:jc w:val="center"/>
        <w:rPr>
          <w:i/>
          <w:color w:val="auto"/>
          <w:szCs w:val="28"/>
        </w:rPr>
      </w:pPr>
      <w:r w:rsidRPr="004A7C07">
        <w:rPr>
          <w:i/>
          <w:color w:val="auto"/>
          <w:szCs w:val="28"/>
        </w:rPr>
        <w:t xml:space="preserve">Обзор практики применения военными судами законодательства о воинской обязанности, военной службе и статусе военнослужащих </w:t>
      </w:r>
    </w:p>
    <w:p w:rsidR="004A7C07" w:rsidRPr="004A7C07" w:rsidRDefault="004A7C07" w:rsidP="004A7C07">
      <w:pPr>
        <w:pStyle w:val="a7"/>
        <w:spacing w:after="0"/>
        <w:ind w:right="-284" w:firstLine="709"/>
        <w:jc w:val="center"/>
        <w:rPr>
          <w:i/>
          <w:color w:val="auto"/>
          <w:szCs w:val="28"/>
        </w:rPr>
      </w:pPr>
      <w:r w:rsidRPr="004A7C07">
        <w:rPr>
          <w:i/>
          <w:color w:val="auto"/>
          <w:szCs w:val="28"/>
        </w:rPr>
        <w:t>в 2019 году.</w:t>
      </w:r>
    </w:p>
    <w:p w:rsidR="004A7C07" w:rsidRPr="004A7C07" w:rsidRDefault="004A7C07" w:rsidP="004A7C07">
      <w:pPr>
        <w:pStyle w:val="a7"/>
        <w:spacing w:after="0"/>
        <w:ind w:right="-284" w:firstLine="709"/>
        <w:jc w:val="center"/>
        <w:rPr>
          <w:i/>
          <w:color w:val="auto"/>
          <w:szCs w:val="28"/>
        </w:rPr>
      </w:pPr>
      <w:proofErr w:type="gramStart"/>
      <w:r w:rsidRPr="004A7C07">
        <w:rPr>
          <w:i/>
          <w:color w:val="auto"/>
          <w:szCs w:val="28"/>
        </w:rPr>
        <w:t>Утвержден</w:t>
      </w:r>
      <w:proofErr w:type="gramEnd"/>
      <w:r w:rsidRPr="004A7C07">
        <w:rPr>
          <w:i/>
          <w:color w:val="auto"/>
          <w:szCs w:val="28"/>
        </w:rPr>
        <w:t xml:space="preserve"> Президиумом Верховного Суда Российской Федерации</w:t>
      </w:r>
    </w:p>
    <w:p w:rsidR="004A7C07" w:rsidRPr="004A7C07" w:rsidRDefault="004A7C07" w:rsidP="004A7C07">
      <w:pPr>
        <w:pStyle w:val="a7"/>
        <w:spacing w:after="0"/>
        <w:ind w:right="-284" w:firstLine="709"/>
        <w:jc w:val="center"/>
        <w:rPr>
          <w:i/>
          <w:color w:val="auto"/>
          <w:szCs w:val="28"/>
        </w:rPr>
      </w:pPr>
      <w:r w:rsidRPr="004A7C07">
        <w:rPr>
          <w:i/>
          <w:color w:val="auto"/>
          <w:szCs w:val="28"/>
        </w:rPr>
        <w:t>17 июня 2020 г.</w:t>
      </w:r>
    </w:p>
    <w:p w:rsidR="00755C3E" w:rsidRPr="004A7C07" w:rsidRDefault="00755C3E" w:rsidP="004A7C07">
      <w:pPr>
        <w:ind w:right="-284"/>
        <w:rPr>
          <w:rFonts w:ascii="Times New Roman" w:hAnsi="Times New Roman" w:cs="Times New Roman"/>
          <w:sz w:val="28"/>
          <w:szCs w:val="28"/>
        </w:rPr>
      </w:pPr>
    </w:p>
    <w:sectPr w:rsidR="00755C3E" w:rsidRPr="004A7C07" w:rsidSect="00755C3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C07" w:rsidRDefault="004A7C07" w:rsidP="004A7C07">
      <w:pPr>
        <w:spacing w:after="0" w:line="240" w:lineRule="auto"/>
      </w:pPr>
      <w:r>
        <w:separator/>
      </w:r>
    </w:p>
  </w:endnote>
  <w:endnote w:type="continuationSeparator" w:id="1">
    <w:p w:rsidR="004A7C07" w:rsidRDefault="004A7C07" w:rsidP="004A7C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C07" w:rsidRDefault="004A7C07" w:rsidP="004A7C07">
      <w:pPr>
        <w:spacing w:after="0" w:line="240" w:lineRule="auto"/>
      </w:pPr>
      <w:r>
        <w:separator/>
      </w:r>
    </w:p>
  </w:footnote>
  <w:footnote w:type="continuationSeparator" w:id="1">
    <w:p w:rsidR="004A7C07" w:rsidRDefault="004A7C07" w:rsidP="004A7C07">
      <w:pPr>
        <w:spacing w:after="0" w:line="240" w:lineRule="auto"/>
      </w:pPr>
      <w:r>
        <w:continuationSeparator/>
      </w:r>
    </w:p>
  </w:footnote>
  <w:footnote w:id="2">
    <w:p w:rsidR="004A7C07" w:rsidRPr="008B7654" w:rsidRDefault="004A7C07" w:rsidP="004A7C07">
      <w:pPr>
        <w:pStyle w:val="a3"/>
        <w:ind w:firstLine="426"/>
        <w:jc w:val="both"/>
        <w:rPr>
          <w:sz w:val="22"/>
          <w:szCs w:val="22"/>
        </w:rPr>
      </w:pPr>
      <w:r>
        <w:rPr>
          <w:rStyle w:val="a5"/>
        </w:rPr>
        <w:footnoteRef/>
      </w:r>
      <w:r>
        <w:t xml:space="preserve"> </w:t>
      </w:r>
      <w:r w:rsidRPr="008B7654">
        <w:rPr>
          <w:sz w:val="22"/>
          <w:szCs w:val="22"/>
        </w:rPr>
        <w:t>Аналогичные положения закреплены в п</w:t>
      </w:r>
      <w:r>
        <w:rPr>
          <w:sz w:val="22"/>
          <w:szCs w:val="22"/>
        </w:rPr>
        <w:t>.</w:t>
      </w:r>
      <w:r w:rsidRPr="008B7654">
        <w:rPr>
          <w:sz w:val="22"/>
          <w:szCs w:val="22"/>
        </w:rPr>
        <w:t xml:space="preserve"> 107 Порядка обеспечения денежным д</w:t>
      </w:r>
      <w:r w:rsidRPr="008B7654">
        <w:rPr>
          <w:sz w:val="22"/>
          <w:szCs w:val="22"/>
        </w:rPr>
        <w:t>о</w:t>
      </w:r>
      <w:r w:rsidRPr="008B7654">
        <w:rPr>
          <w:sz w:val="22"/>
          <w:szCs w:val="22"/>
        </w:rPr>
        <w:t>вольствием военнослужащих Вооруженных Сил Российской Федерации и предоставления им и членам их семей отдельных выплат, утвержденного</w:t>
      </w:r>
      <w:r w:rsidRPr="00F24DF9">
        <w:rPr>
          <w:sz w:val="28"/>
          <w:szCs w:val="28"/>
        </w:rPr>
        <w:t xml:space="preserve"> </w:t>
      </w:r>
      <w:r w:rsidRPr="008B7654">
        <w:rPr>
          <w:sz w:val="22"/>
          <w:szCs w:val="22"/>
        </w:rPr>
        <w:t>приказом Министра обороны Российской Ф</w:t>
      </w:r>
      <w:r w:rsidRPr="008B7654">
        <w:rPr>
          <w:sz w:val="22"/>
          <w:szCs w:val="22"/>
        </w:rPr>
        <w:t>е</w:t>
      </w:r>
      <w:r w:rsidRPr="008B7654">
        <w:rPr>
          <w:sz w:val="22"/>
          <w:szCs w:val="22"/>
        </w:rPr>
        <w:t>дерации</w:t>
      </w:r>
      <w:r>
        <w:rPr>
          <w:sz w:val="22"/>
          <w:szCs w:val="22"/>
        </w:rPr>
        <w:br/>
      </w:r>
      <w:r w:rsidRPr="008B7654">
        <w:rPr>
          <w:sz w:val="22"/>
          <w:szCs w:val="22"/>
        </w:rPr>
        <w:t>от 6 декабря 2019 г. № 727.</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footnotePr>
    <w:footnote w:id="0"/>
    <w:footnote w:id="1"/>
  </w:footnotePr>
  <w:endnotePr>
    <w:endnote w:id="0"/>
    <w:endnote w:id="1"/>
  </w:endnotePr>
  <w:compat/>
  <w:rsids>
    <w:rsidRoot w:val="004A7C07"/>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A7C07"/>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60D9"/>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4A7C07"/>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4A7C07"/>
    <w:pPr>
      <w:shd w:val="clear" w:color="auto" w:fill="FFFFFF"/>
      <w:spacing w:before="420" w:after="180" w:line="240" w:lineRule="atLeast"/>
    </w:pPr>
    <w:rPr>
      <w:rFonts w:ascii="Times New Roman" w:hAnsi="Times New Roman" w:cs="Times New Roman"/>
      <w:sz w:val="14"/>
      <w:szCs w:val="14"/>
    </w:rPr>
  </w:style>
  <w:style w:type="paragraph" w:styleId="a3">
    <w:name w:val="footnote text"/>
    <w:basedOn w:val="a"/>
    <w:link w:val="a4"/>
    <w:uiPriority w:val="99"/>
    <w:semiHidden/>
    <w:unhideWhenUsed/>
    <w:rsid w:val="004A7C07"/>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basedOn w:val="a0"/>
    <w:link w:val="a3"/>
    <w:uiPriority w:val="99"/>
    <w:semiHidden/>
    <w:rsid w:val="004A7C07"/>
    <w:rPr>
      <w:rFonts w:ascii="Times New Roman" w:eastAsia="Times New Roman" w:hAnsi="Times New Roman" w:cs="Times New Roman"/>
      <w:sz w:val="20"/>
      <w:szCs w:val="20"/>
      <w:lang w:eastAsia="ru-RU"/>
    </w:rPr>
  </w:style>
  <w:style w:type="character" w:styleId="a5">
    <w:name w:val="footnote reference"/>
    <w:basedOn w:val="a0"/>
    <w:uiPriority w:val="99"/>
    <w:semiHidden/>
    <w:unhideWhenUsed/>
    <w:rsid w:val="004A7C07"/>
    <w:rPr>
      <w:vertAlign w:val="superscript"/>
    </w:rPr>
  </w:style>
  <w:style w:type="character" w:customStyle="1" w:styleId="a6">
    <w:name w:val="Основной текст Знак"/>
    <w:basedOn w:val="a0"/>
    <w:link w:val="a7"/>
    <w:rsid w:val="004A7C07"/>
    <w:rPr>
      <w:rFonts w:ascii="Times New Roman" w:eastAsia="Times New Roman" w:hAnsi="Times New Roman" w:cs="Times New Roman"/>
      <w:color w:val="0000FF"/>
      <w:sz w:val="28"/>
      <w:szCs w:val="20"/>
      <w:lang w:eastAsia="ru-RU"/>
    </w:rPr>
  </w:style>
  <w:style w:type="paragraph" w:styleId="a7">
    <w:name w:val="Body Text"/>
    <w:basedOn w:val="a"/>
    <w:link w:val="a6"/>
    <w:unhideWhenUsed/>
    <w:rsid w:val="004A7C07"/>
    <w:pPr>
      <w:spacing w:after="120" w:line="240" w:lineRule="auto"/>
    </w:pPr>
    <w:rPr>
      <w:rFonts w:ascii="Times New Roman" w:eastAsia="Times New Roman" w:hAnsi="Times New Roman" w:cs="Times New Roman"/>
      <w:color w:val="0000FF"/>
      <w:sz w:val="28"/>
      <w:szCs w:val="20"/>
      <w:lang w:eastAsia="ru-RU"/>
    </w:rPr>
  </w:style>
  <w:style w:type="character" w:customStyle="1" w:styleId="1">
    <w:name w:val="Основной текст Знак1"/>
    <w:basedOn w:val="a0"/>
    <w:link w:val="a7"/>
    <w:uiPriority w:val="99"/>
    <w:semiHidden/>
    <w:rsid w:val="004A7C0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2383AB32048F180E5354F50A43D8105B6665FF53ACBC990B69039D6BA831695E31B1E7039C84E94C8A26F0C696E29FF95654E9DEAC0DE34cEt7G" TargetMode="External"/><Relationship Id="rId3" Type="http://schemas.openxmlformats.org/officeDocument/2006/relationships/webSettings" Target="webSettings.xml"/><Relationship Id="rId7" Type="http://schemas.openxmlformats.org/officeDocument/2006/relationships/hyperlink" Target="consultantplus://offline/ref=E1E22F94835F3C49E963A4835E0E0CF4F0C0B8F00A6BB5100F013884CB34DD09903E9E62F5F0D07CHFB3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254B847BFB7BC949A05EF5669BB95F624E32D6649F2F742D9385F170BDTA16K"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consultantplus://offline/ref=F151326950357FB5E1186856CC446E093BCA5D349F1D856159DE0D8F22577F7C9DA260432640AB6Ey4R4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1242</Words>
  <Characters>7085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2020-07-09T13:08:00Z</dcterms:created>
  <dcterms:modified xsi:type="dcterms:W3CDTF">2020-07-09T13:08:00Z</dcterms:modified>
</cp:coreProperties>
</file>