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7BA8" w:rsidRPr="00CC7BA8" w:rsidRDefault="00CC7BA8" w:rsidP="00CC7BA8">
      <w:pPr>
        <w:autoSpaceDE w:val="0"/>
        <w:autoSpaceDN w:val="0"/>
        <w:adjustRightInd w:val="0"/>
        <w:spacing w:after="0" w:line="240" w:lineRule="auto"/>
        <w:jc w:val="center"/>
        <w:rPr>
          <w:rFonts w:ascii="Times New Roman" w:eastAsia="Calibri" w:hAnsi="Times New Roman"/>
          <w:b/>
          <w:bCs/>
          <w:iCs/>
          <w:sz w:val="28"/>
          <w:szCs w:val="28"/>
          <w:lang w:eastAsia="en-US"/>
        </w:rPr>
      </w:pPr>
      <w:r w:rsidRPr="00CC7BA8">
        <w:rPr>
          <w:rFonts w:ascii="Times New Roman" w:eastAsia="Calibri" w:hAnsi="Times New Roman"/>
          <w:b/>
          <w:bCs/>
          <w:iCs/>
          <w:sz w:val="28"/>
          <w:szCs w:val="28"/>
          <w:lang w:eastAsia="en-US"/>
        </w:rPr>
        <w:t>Денежная компенсация за наем (поднаем) жилых помещений направлена на возмещение военнослужащим затрат в связи с прохождением военной службы в местности, отличной от их предыдущего места жительства, а поэтому относится к денежным суммам, предоставленным им в качестве</w:t>
      </w:r>
      <w:r w:rsidRPr="00CC7BA8">
        <w:rPr>
          <w:rFonts w:ascii="Times New Roman" w:eastAsia="Calibri" w:hAnsi="Times New Roman"/>
          <w:b/>
          <w:bCs/>
          <w:iCs/>
          <w:sz w:val="28"/>
          <w:szCs w:val="28"/>
          <w:lang w:eastAsia="en-US"/>
        </w:rPr>
        <w:br/>
        <w:t>средства к существованию</w:t>
      </w:r>
    </w:p>
    <w:p w:rsidR="00CC7BA8" w:rsidRPr="00CC7BA8" w:rsidRDefault="00CC7BA8" w:rsidP="00CC7BA8">
      <w:pPr>
        <w:autoSpaceDE w:val="0"/>
        <w:autoSpaceDN w:val="0"/>
        <w:adjustRightInd w:val="0"/>
        <w:spacing w:after="0" w:line="240" w:lineRule="auto"/>
        <w:ind w:firstLine="426"/>
        <w:jc w:val="center"/>
        <w:rPr>
          <w:rFonts w:ascii="Times New Roman" w:eastAsia="Calibri" w:hAnsi="Times New Roman"/>
          <w:b/>
          <w:bCs/>
          <w:iCs/>
          <w:sz w:val="28"/>
          <w:szCs w:val="28"/>
          <w:lang w:eastAsia="en-US"/>
        </w:rPr>
      </w:pPr>
    </w:p>
    <w:p w:rsidR="00CC7BA8" w:rsidRPr="00CC7BA8" w:rsidRDefault="00CC7BA8" w:rsidP="00CC7BA8">
      <w:pPr>
        <w:pStyle w:val="1"/>
        <w:ind w:right="60" w:firstLine="426"/>
        <w:jc w:val="both"/>
        <w:rPr>
          <w:i/>
          <w:szCs w:val="28"/>
        </w:rPr>
      </w:pPr>
      <w:r w:rsidRPr="00CC7BA8">
        <w:rPr>
          <w:i/>
          <w:szCs w:val="28"/>
        </w:rPr>
        <w:t>Определение Судебной коллегии по делам военнослужащих Верховного Суда Российской Федерации от 10 марта 2022 г.</w:t>
      </w:r>
      <w:r w:rsidRPr="00CC7BA8">
        <w:rPr>
          <w:i/>
          <w:szCs w:val="28"/>
        </w:rPr>
        <w:br/>
        <w:t>№ 222-КГ22-2-К10</w:t>
      </w:r>
      <w:r w:rsidRPr="00CC7BA8">
        <w:rPr>
          <w:szCs w:val="28"/>
        </w:rPr>
        <w:t xml:space="preserve"> </w:t>
      </w:r>
      <w:r w:rsidRPr="00CC7BA8">
        <w:rPr>
          <w:i/>
          <w:szCs w:val="28"/>
        </w:rPr>
        <w:t>по исковому заявлению К. (извлечение)</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CC7BA8">
        <w:rPr>
          <w:rStyle w:val="font51"/>
        </w:rPr>
        <w:t>Решением Севастопольского гарнизонного военного суда от 9 июня 2020 г., оставленным без изменения апелляционным определением Южного окружного военного суда от 26 августа 2020 г. удовлетворено исковое заявление федерального государственного бюджетного военного образовательного учреждения высшего образования «Черноморское высшее военно-морское ордена Красной Звезды училище имени П.С. Нахимова» Минобороны России (далее – Военно-морское училище) о взыскании с К. денежных средств, необоснованно полученных им</w:t>
      </w:r>
      <w:proofErr w:type="gramEnd"/>
      <w:r w:rsidRPr="00CC7BA8">
        <w:rPr>
          <w:rStyle w:val="font51"/>
        </w:rPr>
        <w:t xml:space="preserve"> в качестве денежной компенсации за наем (поднаем) жилого помещения за период с марта 2018 г. по декабрь 2019 г.,</w:t>
      </w:r>
      <w:r w:rsidRPr="00CC7BA8">
        <w:rPr>
          <w:rStyle w:val="font51"/>
        </w:rPr>
        <w:br/>
        <w:t xml:space="preserve">в размере 395 926 руб. 61 коп.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Определением Кассационного военного суда постановления судов первой и апелляционной инстанций оставлены без изменения.</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Рассмотрев материалы дела по кассационной жалобе К., Судебная коллегия по делам военнослужащих судебные постановления отменила и направила дело на новое рассмотрение в суд первой инстанции по следующим основаниям.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Из материалов дела следует, что К. до апреля 2017 г. проходил военную службу в воинской части, дислоцированной в г. Северодвинске Архангельской области.</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Приказом Министра обороны РФ от 31 января 2017 г. ответчик назначен на воинскую должность начальника курса факультета Военно-морского училища.</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После прибытия 4 апреля 2017 г. к новому месту военной службы и признания его жилищным органом с 19 марта 2018 г. нуждающимся в жилом помещении, предоставляемом по договору социального найма, К. обратился к начальнику Военно-морского училища с рапортом о выплате денежной компенсации за наем (поднаем) жилого помещения.</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В рапорте К. указал, что с 21 ноября 2017 г. он вместе с членами семьи осуществляет наем жилого помещения в г. Севастополе по конкретному адресу за определенную в договоре плату. В рапорте также было сообщено о регистрации ответчика и членов его семьи по месту пребывания (по адресу Военно-морского училища).</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К рапорту ответчик приложил копии договора краткосрочного найма жилого помещения со своей матерью – собственником данного жилого помещения, акта проверки жилого помещения, данные о регистрации по адресу Военно-морского училища, другие документы.</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Факт проживания ответчика и членов его семьи по указанному в рапорте адресу 5 декабря 2017 г. был подтвержден комиссией Военно-морского училища по результатам выезда в это помещение.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CC7BA8">
        <w:rPr>
          <w:rStyle w:val="font51"/>
        </w:rPr>
        <w:t>На основании приказов начальника Военно-морского училища</w:t>
      </w:r>
      <w:r w:rsidRPr="00CC7BA8">
        <w:rPr>
          <w:rStyle w:val="font51"/>
        </w:rPr>
        <w:br/>
      </w:r>
      <w:r w:rsidRPr="00CC7BA8">
        <w:rPr>
          <w:rStyle w:val="font51"/>
        </w:rPr>
        <w:lastRenderedPageBreak/>
        <w:t>от 18 июня, 17 июля, 14 августа, 17 сентября, 18 октября, 15 ноября,</w:t>
      </w:r>
      <w:r w:rsidRPr="00CC7BA8">
        <w:rPr>
          <w:rStyle w:val="font51"/>
        </w:rPr>
        <w:br/>
        <w:t>7 декабря 2018 г., от 20 марта, 18 апреля, 16 мая, 13 июня, 11 июля, 19 августа, 10 сентября, 16 октября, 19 ноября, 18 декабря 2019 г.</w:t>
      </w:r>
      <w:r w:rsidRPr="00CC7BA8">
        <w:rPr>
          <w:rStyle w:val="font51"/>
        </w:rPr>
        <w:br/>
        <w:t>К. выплачена денежная компенсация за наем (поднаем) жилого помещения за период с марта 2018</w:t>
      </w:r>
      <w:proofErr w:type="gramEnd"/>
      <w:r w:rsidRPr="00CC7BA8">
        <w:rPr>
          <w:rStyle w:val="font51"/>
        </w:rPr>
        <w:t xml:space="preserve"> г. по декабрь 2019 г. в размере</w:t>
      </w:r>
      <w:r w:rsidRPr="00CC7BA8">
        <w:rPr>
          <w:rStyle w:val="font51"/>
        </w:rPr>
        <w:br/>
        <w:t>395 926 руб. 61 коп.</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По итогам проверки военной прокуратурой соблюдения требований законодательства о сохранности федеральной собственности принесены протесты на указанные приказы начальника Военно-морского училища ввиду необоснованности выплаты К. денежной компенсации за наем (поднаем) жилого помещения без признания его нуждающимся в служебном жилье.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  Приказом начальника Военно-морского училища от 6 апреля</w:t>
      </w:r>
      <w:r w:rsidRPr="00CC7BA8">
        <w:rPr>
          <w:rStyle w:val="font51"/>
        </w:rPr>
        <w:br/>
        <w:t>2020 г. приказы о выплате ответчику денежной компенсации за наем (поднаем) жилого помещения отменены.</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После этого истец обратился в суд с исковым заявлением о взыскании с К. излишне выплаченной денежной компенсации за наем (поднаем) жилого помещения.</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Разрешая спор и удовлетворяя исковое заявление, суд первой инстанции исходил из того, что выплата ответчику излишних денежных сре</w:t>
      </w:r>
      <w:proofErr w:type="gramStart"/>
      <w:r w:rsidRPr="00CC7BA8">
        <w:rPr>
          <w:rStyle w:val="font51"/>
        </w:rPr>
        <w:t>дств пр</w:t>
      </w:r>
      <w:proofErr w:type="gramEnd"/>
      <w:r w:rsidRPr="00CC7BA8">
        <w:rPr>
          <w:rStyle w:val="font51"/>
        </w:rPr>
        <w:t xml:space="preserve">оизошла в отсутствие оснований для получения денежной компенсации за наем (поднаем) жилого помещения, а приказы о выплате указанной компенсации отменены. Кроме того, суд указал, что полученные денежные средства не являются денежным довольствием и приравненными к нему платежами, а потому они подлежат возврату как полученные в качестве неосновательного обогащения.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С данным выводом согласились суды апелляционной и кассационной инстанций. При этом суд апелляционной инстанции указал в определении, что решение о признании К. нуждающимся в жилом помещении, предоставляемом по договору социального найма, жилищным органом отменено в связи с тем, что ответчик является членом семьи собственника жилого помещения – своей матери.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Такие выводы судов не соответствуют обстоятельствам дела и основаны на неправильном истолковании норм материального права.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В суде установлено, что ежемесячная денежная компенсация за наем (поднаем) жилого помещения выплачивалась К. на основании приказов начальника Военно-морского училища в связи с прибытием ответчика к новому месту военной службы, в отсутствие сведений об обеспеченности его жильем по месту дислокации училища и после подтверждения фактического найма им жилого помещения.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CC7BA8">
        <w:rPr>
          <w:rStyle w:val="font51"/>
        </w:rPr>
        <w:t>Согласно п. 3 ст. 15 Федерального закона «О статусе военнослужащих» военнослужащим, проходящим военную службу по контракту, и членам их семей, прибывшим на новое место военной службы, до получения жилых помещений предоставляются служебные жилые помещения, жилые помещения маневренного фонда или общежития, а в случае их отсутствия воинские части по желанию военнослужащих ежемесячно выплачивают им денежную компенсацию за наем (поднаем) жилых помещений</w:t>
      </w:r>
      <w:proofErr w:type="gramEnd"/>
      <w:r w:rsidRPr="00CC7BA8">
        <w:rPr>
          <w:rStyle w:val="font51"/>
        </w:rPr>
        <w:t xml:space="preserve"> в порядке и </w:t>
      </w:r>
      <w:hyperlink r:id="rId5" w:history="1">
        <w:r w:rsidRPr="00CC7BA8">
          <w:rPr>
            <w:rStyle w:val="font51"/>
          </w:rPr>
          <w:t>размерах</w:t>
        </w:r>
      </w:hyperlink>
      <w:r w:rsidRPr="00CC7BA8">
        <w:rPr>
          <w:rStyle w:val="font51"/>
        </w:rPr>
        <w:t>, которые определяются Правительством РФ.</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CC7BA8">
        <w:rPr>
          <w:rStyle w:val="font51"/>
        </w:rPr>
        <w:lastRenderedPageBreak/>
        <w:t xml:space="preserve">В соответствии с </w:t>
      </w:r>
      <w:proofErr w:type="spellStart"/>
      <w:r w:rsidRPr="00CC7BA8">
        <w:rPr>
          <w:rStyle w:val="font51"/>
        </w:rPr>
        <w:t>пп</w:t>
      </w:r>
      <w:proofErr w:type="spellEnd"/>
      <w:r w:rsidRPr="00CC7BA8">
        <w:rPr>
          <w:rStyle w:val="font51"/>
        </w:rPr>
        <w:t>. 2 и 3 постановления Правительства РФ</w:t>
      </w:r>
      <w:r w:rsidRPr="00CC7BA8">
        <w:rPr>
          <w:rStyle w:val="font51"/>
        </w:rPr>
        <w:br/>
        <w:t>от 31 декабря 2004 г. № 909 «О порядке выплаты денежной компенсации за наем (поднаем) жилых помещений военнослужащим – гражданам Российской Федерации, проходящим военную службу по контракту, гражданам Российской Федерации, уволенным с военной службы, и членам их семей» денежная компенсация выплачивается в размере фактических расходов, но не выше размеров, определенных исходя из</w:t>
      </w:r>
      <w:proofErr w:type="gramEnd"/>
      <w:r w:rsidRPr="00CC7BA8">
        <w:rPr>
          <w:rStyle w:val="font51"/>
        </w:rPr>
        <w:t xml:space="preserve"> норматива общей площади жилого помещения, и ее выплата осуществляется ежемесячно за счет и в пределах средств, предусматриваемых на указанные цели в федеральном бюджете Минобороны России или иному федеральному органу исполнительной власти (федеральному государственному органу), в котором законом предусмотрена военная служба.</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CC7BA8">
        <w:rPr>
          <w:rStyle w:val="font51"/>
        </w:rPr>
        <w:t xml:space="preserve">Содержание названных правовых норм указывает на то, что денежная компенсация за наем (поднаем) жилых помещений относится к числу гарантий, предоставляемых военнослужащим, не обеспеченных по месту военной службы жилым помещением для постоянного проживания, непосредственно связана со служебной деятельностью таких лиц и направлена на возмещение дополнительных затрат в связи с прохождением военной службы в местности, отличной от их предыдущего места жительства. </w:t>
      </w:r>
      <w:proofErr w:type="gramEnd"/>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Следовательно, эта компенсационная выплата, исходя из ее предназначения, обусловлена прохождением К. военной службы, в </w:t>
      </w:r>
      <w:proofErr w:type="gramStart"/>
      <w:r w:rsidRPr="00CC7BA8">
        <w:rPr>
          <w:rStyle w:val="font51"/>
        </w:rPr>
        <w:t>связи</w:t>
      </w:r>
      <w:proofErr w:type="gramEnd"/>
      <w:r w:rsidRPr="00CC7BA8">
        <w:rPr>
          <w:rStyle w:val="font51"/>
        </w:rPr>
        <w:t xml:space="preserve"> с чем подлежит отнесению к денежным суммам, предоставленным гражданину в качестве средства к существованию.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Согласно </w:t>
      </w:r>
      <w:hyperlink r:id="rId6" w:history="1">
        <w:r w:rsidRPr="00CC7BA8">
          <w:rPr>
            <w:rStyle w:val="font51"/>
          </w:rPr>
          <w:t>п. 1 ст. 1102</w:t>
        </w:r>
      </w:hyperlink>
      <w:r w:rsidRPr="00CC7BA8">
        <w:rPr>
          <w:rStyle w:val="font51"/>
        </w:rPr>
        <w:t xml:space="preserve"> ГК РФ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CC7BA8">
        <w:rPr>
          <w:rStyle w:val="font51"/>
        </w:rPr>
        <w:t xml:space="preserve">При этом в соответствии с </w:t>
      </w:r>
      <w:hyperlink r:id="rId7" w:history="1">
        <w:r w:rsidRPr="00CC7BA8">
          <w:rPr>
            <w:rStyle w:val="font51"/>
          </w:rPr>
          <w:t>подп. 3 ст. 1109</w:t>
        </w:r>
      </w:hyperlink>
      <w:r w:rsidRPr="00CC7BA8">
        <w:rPr>
          <w:rStyle w:val="font51"/>
        </w:rPr>
        <w:t xml:space="preserve"> ГК РФ не подлежат возврату в качестве неосновательного обогащения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roofErr w:type="gramEnd"/>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Таким образом, излишне начисленная и полученная военнослужащим в период военной службы денежная компенсация за наем (поднаем) жилых помещений подлежит взысканию с него как неосновательное обогащение, только если выплата названной компенсации явилась результатом недобросовестности со стороны военнослужащего или счетной ошибки.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В связи </w:t>
      </w:r>
      <w:proofErr w:type="gramStart"/>
      <w:r w:rsidRPr="00CC7BA8">
        <w:rPr>
          <w:rStyle w:val="font51"/>
        </w:rPr>
        <w:t>с</w:t>
      </w:r>
      <w:proofErr w:type="gramEnd"/>
      <w:r w:rsidRPr="00CC7BA8">
        <w:rPr>
          <w:rStyle w:val="font51"/>
        </w:rPr>
        <w:t xml:space="preserve"> </w:t>
      </w:r>
      <w:proofErr w:type="gramStart"/>
      <w:r w:rsidRPr="00CC7BA8">
        <w:rPr>
          <w:rStyle w:val="font51"/>
        </w:rPr>
        <w:t>изложенным</w:t>
      </w:r>
      <w:proofErr w:type="gramEnd"/>
      <w:r w:rsidRPr="00CC7BA8">
        <w:rPr>
          <w:rStyle w:val="font51"/>
        </w:rPr>
        <w:t xml:space="preserve"> по данному делу юридически значимым являлось установление следующих обстоятельств: имела ли место со стороны К. недобросовестность в получении в период с марта 2018 г. по декабрь 2019 г. денежной компенсации за наем (поднаем) жилых помещений и (или) имела ли место счетная ошибка.</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Между тем суды в обоснование принятого решения сослались лишь на неправомерность выплаты денежной компенсации ввиду того, что ответчик не обращался в жилищный орган о признании его нуждающимся в служебном </w:t>
      </w:r>
      <w:r w:rsidRPr="00CC7BA8">
        <w:rPr>
          <w:rStyle w:val="font51"/>
        </w:rPr>
        <w:lastRenderedPageBreak/>
        <w:t xml:space="preserve">жилом помещении.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Однако это обстоятельство при представлении К. сведений о фактическом найме им жилого помещения, отсутствии данных об обеспеченности его жильем по месту дислокации училища и наличии у командования обязанности соблюдать порядок выплаты денежной компенсации, установленный Правительством РФ, само по себе не свидетельствует о его недобросовестности.</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CC7BA8">
        <w:rPr>
          <w:rStyle w:val="font51"/>
        </w:rPr>
        <w:t>То обстоятельство, что ответчик осуществлял наем жилого помещения у своей матери, также не свидетельствует о недобросовестности его действий, поскольку в силу п. 14 Инструкции об организации в Вооруженных Силах РФ выплаты денежной компенсации за наем (поднаем) жилых помещений, утвержденной приказом Министра обороны РФ от 27 мая 2016 г. № 303, при найме (поднайме) жилых помещений у родственников денежная компенсация военнослужащим и</w:t>
      </w:r>
      <w:proofErr w:type="gramEnd"/>
      <w:r w:rsidRPr="00CC7BA8">
        <w:rPr>
          <w:rStyle w:val="font51"/>
        </w:rPr>
        <w:t xml:space="preserve"> членам их семей выплачивается на общих основаниях в случае отсутствия регистрации по месту жительства в данном жилом помещении.</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Как следует из материалов дела, К. и члены его семьи в период с марта 2018 г. по декабрь 2019 г. были зарегистрированы по адресу Военно-морского училища. </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CC7BA8">
        <w:rPr>
          <w:rStyle w:val="font51"/>
        </w:rPr>
        <w:t>Последующая отмена приказов, в соответствии с которыми ответчику были произведены выплаты, как и снятие его с учета нуждающихся в жилых помещениях, предоставляемых по договору социального найма, не влечет утрату прав военнослужащего на эту выплату за прошедший период, то есть за период, в течение которого у военнослужащего имелись правовые основания для ее получения, при отсутствии недобросовестности с его стороны и счетной</w:t>
      </w:r>
      <w:proofErr w:type="gramEnd"/>
      <w:r w:rsidRPr="00CC7BA8">
        <w:rPr>
          <w:rStyle w:val="font51"/>
        </w:rPr>
        <w:t xml:space="preserve"> ошибки.</w:t>
      </w:r>
    </w:p>
    <w:p w:rsidR="00CC7BA8" w:rsidRPr="00CC7BA8" w:rsidRDefault="00CC7BA8" w:rsidP="00CC7BA8">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CC7BA8">
        <w:rPr>
          <w:rStyle w:val="font51"/>
        </w:rPr>
        <w:t xml:space="preserve">При таких обстоятельствах вывод судов о правомерности требований </w:t>
      </w:r>
      <w:proofErr w:type="gramStart"/>
      <w:r w:rsidRPr="00CC7BA8">
        <w:rPr>
          <w:rStyle w:val="font51"/>
        </w:rPr>
        <w:t>истца</w:t>
      </w:r>
      <w:proofErr w:type="gramEnd"/>
      <w:r w:rsidRPr="00CC7BA8">
        <w:rPr>
          <w:rStyle w:val="font51"/>
        </w:rPr>
        <w:t xml:space="preserve"> по возврату неосновательно полученной К. денежной компенсации за наем (поднаем) жилых помещений нельзя признать обоснованным.</w:t>
      </w:r>
    </w:p>
    <w:p w:rsidR="00A036D7" w:rsidRDefault="00A036D7">
      <w:pPr>
        <w:rPr>
          <w:rFonts w:ascii="Times New Roman" w:hAnsi="Times New Roman"/>
        </w:rPr>
      </w:pPr>
    </w:p>
    <w:p w:rsidR="00CC7BA8" w:rsidRPr="00E433D6" w:rsidRDefault="00CC7BA8" w:rsidP="00CC7BA8">
      <w:pPr>
        <w:pStyle w:val="10"/>
        <w:widowControl/>
        <w:jc w:val="center"/>
        <w:rPr>
          <w:i/>
          <w:sz w:val="24"/>
          <w:szCs w:val="24"/>
        </w:rPr>
      </w:pPr>
      <w:r w:rsidRPr="00E433D6">
        <w:rPr>
          <w:i/>
          <w:sz w:val="24"/>
          <w:szCs w:val="24"/>
        </w:rPr>
        <w:t>Информационный</w:t>
      </w:r>
      <w:r>
        <w:rPr>
          <w:i/>
          <w:sz w:val="24"/>
          <w:szCs w:val="24"/>
        </w:rPr>
        <w:t xml:space="preserve"> </w:t>
      </w:r>
      <w:r w:rsidRPr="00E433D6">
        <w:rPr>
          <w:i/>
          <w:sz w:val="24"/>
          <w:szCs w:val="24"/>
        </w:rPr>
        <w:t>Бюллетень</w:t>
      </w:r>
      <w:r>
        <w:rPr>
          <w:i/>
          <w:sz w:val="24"/>
          <w:szCs w:val="24"/>
        </w:rPr>
        <w:t xml:space="preserve"> </w:t>
      </w:r>
      <w:r w:rsidRPr="00E433D6">
        <w:rPr>
          <w:i/>
          <w:sz w:val="24"/>
          <w:szCs w:val="24"/>
        </w:rPr>
        <w:t>Военных судов</w:t>
      </w:r>
      <w:r>
        <w:rPr>
          <w:i/>
          <w:sz w:val="24"/>
          <w:szCs w:val="24"/>
        </w:rPr>
        <w:t xml:space="preserve"> </w:t>
      </w:r>
      <w:r w:rsidRPr="00E433D6">
        <w:rPr>
          <w:i/>
          <w:sz w:val="24"/>
          <w:szCs w:val="24"/>
        </w:rPr>
        <w:t>№ 1 (264)</w:t>
      </w:r>
    </w:p>
    <w:p w:rsidR="00CC7BA8" w:rsidRPr="00E433D6" w:rsidRDefault="00CC7BA8" w:rsidP="00CC7BA8">
      <w:pPr>
        <w:spacing w:after="0"/>
        <w:jc w:val="center"/>
        <w:rPr>
          <w:rFonts w:ascii="Times New Roman" w:hAnsi="Times New Roman"/>
          <w:i/>
          <w:sz w:val="24"/>
          <w:szCs w:val="24"/>
        </w:rPr>
      </w:pPr>
      <w:r w:rsidRPr="00E433D6">
        <w:rPr>
          <w:rFonts w:ascii="Times New Roman" w:hAnsi="Times New Roman"/>
          <w:i/>
          <w:sz w:val="24"/>
          <w:szCs w:val="24"/>
        </w:rPr>
        <w:t>Москва 2022 г.</w:t>
      </w:r>
    </w:p>
    <w:p w:rsidR="00CC7BA8" w:rsidRPr="00CC7BA8" w:rsidRDefault="00CC7BA8">
      <w:pPr>
        <w:rPr>
          <w:rFonts w:ascii="Times New Roman" w:hAnsi="Times New Roman"/>
        </w:rPr>
      </w:pPr>
      <w:bookmarkStart w:id="0" w:name="_GoBack"/>
      <w:bookmarkEnd w:id="0"/>
    </w:p>
    <w:sectPr w:rsidR="00CC7BA8" w:rsidRPr="00CC7BA8" w:rsidSect="00DD2AEB">
      <w:pgSz w:w="11906" w:h="16838" w:code="9"/>
      <w:pgMar w:top="851" w:right="567" w:bottom="851" w:left="1701"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BA8"/>
    <w:rsid w:val="008865FC"/>
    <w:rsid w:val="00A036D7"/>
    <w:rsid w:val="00CC7BA8"/>
    <w:rsid w:val="00DD2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7BA8"/>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CC7BA8"/>
    <w:pPr>
      <w:tabs>
        <w:tab w:val="center" w:pos="4677"/>
        <w:tab w:val="right" w:pos="9355"/>
      </w:tabs>
      <w:spacing w:after="0" w:line="240" w:lineRule="auto"/>
    </w:pPr>
  </w:style>
  <w:style w:type="character" w:customStyle="1" w:styleId="a4">
    <w:name w:val="Верхний колонтитул Знак"/>
    <w:basedOn w:val="a0"/>
    <w:link w:val="a3"/>
    <w:rsid w:val="00CC7BA8"/>
    <w:rPr>
      <w:rFonts w:ascii="Calibri" w:eastAsia="Times New Roman" w:hAnsi="Calibri" w:cs="Times New Roman"/>
      <w:lang w:eastAsia="ru-RU"/>
    </w:rPr>
  </w:style>
  <w:style w:type="character" w:customStyle="1" w:styleId="font51">
    <w:name w:val="font51"/>
    <w:basedOn w:val="a0"/>
    <w:rsid w:val="00CC7BA8"/>
    <w:rPr>
      <w:rFonts w:ascii="Times New Roman" w:hAnsi="Times New Roman" w:cs="Times New Roman" w:hint="default"/>
      <w:sz w:val="28"/>
      <w:szCs w:val="28"/>
    </w:rPr>
  </w:style>
  <w:style w:type="paragraph" w:customStyle="1" w:styleId="1">
    <w:name w:val="Основной текст1"/>
    <w:basedOn w:val="a"/>
    <w:link w:val="a5"/>
    <w:rsid w:val="00CC7BA8"/>
    <w:pPr>
      <w:spacing w:after="0" w:line="240" w:lineRule="auto"/>
    </w:pPr>
    <w:rPr>
      <w:rFonts w:ascii="Times New Roman" w:hAnsi="Times New Roman"/>
      <w:sz w:val="28"/>
      <w:szCs w:val="20"/>
    </w:rPr>
  </w:style>
  <w:style w:type="character" w:customStyle="1" w:styleId="a5">
    <w:name w:val="Основной текст_"/>
    <w:basedOn w:val="a0"/>
    <w:link w:val="1"/>
    <w:rsid w:val="00CC7BA8"/>
    <w:rPr>
      <w:rFonts w:ascii="Times New Roman" w:eastAsia="Times New Roman" w:hAnsi="Times New Roman" w:cs="Times New Roman"/>
      <w:sz w:val="28"/>
      <w:szCs w:val="20"/>
      <w:lang w:eastAsia="ru-RU"/>
    </w:rPr>
  </w:style>
  <w:style w:type="paragraph" w:customStyle="1" w:styleId="10">
    <w:name w:val="Обычный1"/>
    <w:rsid w:val="00CC7BA8"/>
    <w:pPr>
      <w:widowControl w:val="0"/>
      <w:ind w:firstLine="0"/>
    </w:pPr>
    <w:rPr>
      <w:rFonts w:ascii="Times New Roman" w:eastAsia="Times New Roman" w:hAnsi="Times New Roman" w:cs="Times New Roman"/>
      <w:snapToGrid w:val="0"/>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7BA8"/>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CC7BA8"/>
    <w:pPr>
      <w:tabs>
        <w:tab w:val="center" w:pos="4677"/>
        <w:tab w:val="right" w:pos="9355"/>
      </w:tabs>
      <w:spacing w:after="0" w:line="240" w:lineRule="auto"/>
    </w:pPr>
  </w:style>
  <w:style w:type="character" w:customStyle="1" w:styleId="a4">
    <w:name w:val="Верхний колонтитул Знак"/>
    <w:basedOn w:val="a0"/>
    <w:link w:val="a3"/>
    <w:rsid w:val="00CC7BA8"/>
    <w:rPr>
      <w:rFonts w:ascii="Calibri" w:eastAsia="Times New Roman" w:hAnsi="Calibri" w:cs="Times New Roman"/>
      <w:lang w:eastAsia="ru-RU"/>
    </w:rPr>
  </w:style>
  <w:style w:type="character" w:customStyle="1" w:styleId="font51">
    <w:name w:val="font51"/>
    <w:basedOn w:val="a0"/>
    <w:rsid w:val="00CC7BA8"/>
    <w:rPr>
      <w:rFonts w:ascii="Times New Roman" w:hAnsi="Times New Roman" w:cs="Times New Roman" w:hint="default"/>
      <w:sz w:val="28"/>
      <w:szCs w:val="28"/>
    </w:rPr>
  </w:style>
  <w:style w:type="paragraph" w:customStyle="1" w:styleId="1">
    <w:name w:val="Основной текст1"/>
    <w:basedOn w:val="a"/>
    <w:link w:val="a5"/>
    <w:rsid w:val="00CC7BA8"/>
    <w:pPr>
      <w:spacing w:after="0" w:line="240" w:lineRule="auto"/>
    </w:pPr>
    <w:rPr>
      <w:rFonts w:ascii="Times New Roman" w:hAnsi="Times New Roman"/>
      <w:sz w:val="28"/>
      <w:szCs w:val="20"/>
    </w:rPr>
  </w:style>
  <w:style w:type="character" w:customStyle="1" w:styleId="a5">
    <w:name w:val="Основной текст_"/>
    <w:basedOn w:val="a0"/>
    <w:link w:val="1"/>
    <w:rsid w:val="00CC7BA8"/>
    <w:rPr>
      <w:rFonts w:ascii="Times New Roman" w:eastAsia="Times New Roman" w:hAnsi="Times New Roman" w:cs="Times New Roman"/>
      <w:sz w:val="28"/>
      <w:szCs w:val="20"/>
      <w:lang w:eastAsia="ru-RU"/>
    </w:rPr>
  </w:style>
  <w:style w:type="paragraph" w:customStyle="1" w:styleId="10">
    <w:name w:val="Обычный1"/>
    <w:rsid w:val="00CC7BA8"/>
    <w:pPr>
      <w:widowControl w:val="0"/>
      <w:ind w:firstLine="0"/>
    </w:pPr>
    <w:rPr>
      <w:rFonts w:ascii="Times New Roman" w:eastAsia="Times New Roman" w:hAnsi="Times New Roman" w:cs="Times New Roman"/>
      <w:snapToGrid w:val="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70F6DEE93D8616E619DC1A89BF5F3EBC7BED026691AE18387CEA41DD842D52FEBD4425835494C4C3140A8C107B90DC98C27CF435C66DA0C8I8W6D"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consultantplus://offline/ref=70F6DEE93D8616E619DC1A89BF5F3EBC7BED026691AE18387CEA41DD842D52FEBD4425835494C4CD110A8C107B90DC98C27CF435C66DA0C8I8W6D" TargetMode="External"/><Relationship Id="rId5" Type="http://schemas.openxmlformats.org/officeDocument/2006/relationships/hyperlink" Target="consultantplus://offline/ref=A6ECCED6FEC709F16E9C88FADA87BCF7DC526078FA208AA9E42D4B7F5C8EF72B31FDC4601E6ACC072A5406BB4C06796BD064A9D394A4E8C0W3S0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1643</Words>
  <Characters>9369</Characters>
  <Application>Microsoft Office Word</Application>
  <DocSecurity>0</DocSecurity>
  <Lines>78</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2022-06-22T12:11:00Z</dcterms:created>
  <dcterms:modified xsi:type="dcterms:W3CDTF">2022-06-22T12:14:00Z</dcterms:modified>
</cp:coreProperties>
</file>