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6"/>
        <w:keepNext/>
        <w:keepLines/>
        <w:widowControl w:val="0"/>
        <w:shd w:val="clear" w:color="auto" w:fill="auto"/>
        <w:bidi w:val="0"/>
        <w:spacing w:after="0"/>
        <w:ind w:left="0" w:right="0" w:firstLine="0"/>
        <w:jc w:val="center"/>
      </w:pPr>
      <w:bookmarkStart w:id="0" w:name="bookmark0"/>
      <w:bookmarkStart w:id="1" w:name="bookmark1"/>
      <w:bookmarkStart w:id="2" w:name="bookmark2"/>
      <w:r>
        <w:rPr>
          <w:color w:val="000000"/>
          <w:spacing w:val="0"/>
          <w:w w:val="100"/>
          <w:position w:val="0"/>
        </w:rPr>
        <w:t>ВЕРХОВНЫЙ СУД</w:t>
        <w:br/>
        <w:t>РОССИЙСКОЙ ФЕДЕРАЦИИ</w:t>
      </w:r>
      <w:bookmarkEnd w:id="0"/>
      <w:bookmarkEnd w:id="1"/>
      <w:bookmarkEnd w:id="2"/>
    </w:p>
    <w:p>
      <w:pPr>
        <w:pStyle w:val="Style2"/>
        <w:keepNext w:val="0"/>
        <w:keepLines w:val="0"/>
        <w:widowControl w:val="0"/>
        <w:shd w:val="clear" w:color="auto" w:fill="auto"/>
        <w:bidi w:val="0"/>
        <w:spacing w:before="0" w:after="600" w:line="240" w:lineRule="auto"/>
        <w:ind w:left="0" w:right="0" w:firstLine="0"/>
        <w:jc w:val="right"/>
      </w:pPr>
      <w:r>
        <w:rPr>
          <w:color w:val="000000"/>
          <w:spacing w:val="0"/>
          <w:w w:val="100"/>
          <w:position w:val="0"/>
        </w:rPr>
        <w:t>Дело № 224-КА21-5-К10</w:t>
      </w:r>
    </w:p>
    <w:p>
      <w:pPr>
        <w:pStyle w:val="Style8"/>
        <w:keepNext/>
        <w:keepLines/>
        <w:widowControl w:val="0"/>
        <w:shd w:val="clear" w:color="auto" w:fill="auto"/>
        <w:bidi w:val="0"/>
        <w:spacing w:before="0" w:line="240" w:lineRule="auto"/>
        <w:ind w:left="0" w:right="0"/>
        <w:jc w:val="left"/>
      </w:pPr>
      <w:bookmarkStart w:id="3" w:name="bookmark3"/>
      <w:bookmarkStart w:id="4" w:name="bookmark4"/>
      <w:bookmarkStart w:id="5" w:name="bookmark5"/>
      <w:r>
        <w:rPr>
          <w:color w:val="000000"/>
          <w:spacing w:val="0"/>
          <w:w w:val="100"/>
          <w:position w:val="0"/>
        </w:rPr>
        <w:t>КАССАЦИОННОЕ ОПРЕДЕЛЕНИЕ</w:t>
      </w:r>
      <w:bookmarkEnd w:id="3"/>
      <w:bookmarkEnd w:id="4"/>
      <w:bookmarkEnd w:id="5"/>
    </w:p>
    <w:p>
      <w:pPr>
        <w:pStyle w:val="Style2"/>
        <w:keepNext w:val="0"/>
        <w:keepLines w:val="0"/>
        <w:widowControl w:val="0"/>
        <w:shd w:val="clear" w:color="auto" w:fill="auto"/>
        <w:tabs>
          <w:tab w:pos="7387" w:val="left"/>
        </w:tabs>
        <w:bidi w:val="0"/>
        <w:spacing w:before="0" w:after="300" w:line="240" w:lineRule="auto"/>
        <w:ind w:left="0" w:right="0" w:firstLine="0"/>
        <w:jc w:val="both"/>
      </w:pPr>
      <w:r>
        <w:rPr>
          <w:color w:val="000000"/>
          <w:spacing w:val="0"/>
          <w:w w:val="100"/>
          <w:position w:val="0"/>
        </w:rPr>
        <w:t>г. Москва</w:t>
        <w:tab/>
        <w:t>25 марта 2021 г.</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Судебная коллегия по делам военнослужащих Верховного Суда Рос</w:t>
        <w:softHyphen/>
        <w:t>сийской Федерации в составе</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председательствующего Крупнова И.В.,</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судей Воронова А.В., Замашнюка А.Н.</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при секретаре Жиленковой Т.С. рассмотрела в открытом судебном за</w:t>
        <w:softHyphen/>
        <w:t>седании административное дело № 2а-19/2020 по административному иско</w:t>
        <w:softHyphen/>
        <w:t>вому заявлению военнослужащего войсковой части 65363 майора Сватикова Владислава Михайловича об оспаривании действий начальника отделения (финансово-расчетного пункта № 5) федерального казенного учреждения «Управление финансового обеспечения Министерства обороны Российской Федерации» (далее - Управление финансового обеспечения), связанных с от</w:t>
        <w:softHyphen/>
        <w:t>казом в согласовании проекта приказа командира войсковой части 65363 о выплате денежной компенсации вместо предоставления дополнительных су</w:t>
        <w:softHyphen/>
        <w:t>ток отдыха,</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по кассационной жалобе начальника Управления финансового обеспе</w:t>
        <w:softHyphen/>
        <w:t>чения Михайлова А.Н. на кассационное определение Кассационного военно</w:t>
        <w:softHyphen/>
        <w:t>го суда от 25 ноября 2020 г.</w:t>
      </w:r>
    </w:p>
    <w:p>
      <w:pPr>
        <w:pStyle w:val="Style2"/>
        <w:keepNext w:val="0"/>
        <w:keepLines w:val="0"/>
        <w:widowControl w:val="0"/>
        <w:shd w:val="clear" w:color="auto" w:fill="auto"/>
        <w:bidi w:val="0"/>
        <w:spacing w:before="0" w:after="440" w:line="240" w:lineRule="auto"/>
        <w:ind w:left="0" w:right="0" w:firstLine="700"/>
        <w:jc w:val="both"/>
      </w:pPr>
      <w:r>
        <w:rPr>
          <w:color w:val="000000"/>
          <w:spacing w:val="0"/>
          <w:w w:val="100"/>
          <w:position w:val="0"/>
        </w:rPr>
        <w:t>Заслушав доклад судьи Верховного Суда Российской Федерации Круп</w:t>
        <w:softHyphen/>
        <w:t>нова И.В., изложившего обстоятельства дела, содержание судебных актов, принятых по делу, доводы кассационной жалобы и возражения на нее адми</w:t>
        <w:softHyphen/>
        <w:t>нистративного истца, выступление административного истца Сватикова В.М. против удовлетворения кассационной жалобы, Судебная коллегия по делам военнослужащих Верховного Суда Российской Федерации</w:t>
      </w:r>
    </w:p>
    <w:p>
      <w:pPr>
        <w:pStyle w:val="Style2"/>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установила:</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решением Волгоградского гарнизонного военного суда от 21 января 2020 г., оставленным без изменения апелляционным определением Южного окружного военного суда от 15 апреля 2020 г., Сватикову В.М. отказано в удовлетворении административного искового заявления, в котором он про</w:t>
        <w:softHyphen/>
        <w:t>сил признать незаконным отказ начальника отделения (финансово</w:t>
        <w:softHyphen/>
        <w:t>расчетного пункта № 5) Управления финансового обеспечения согласовать проект приказа командира войсковой части 65363 о выплате ему денежной компенсации в размере 77866 рублей 23 копейки вместо предоставления до</w:t>
        <w:softHyphen/>
        <w:t>полнительных суток отдыха за участие в период с 26 июня по 22 сентября 2019 г. в мероприятиях, которые проводятся при необходимости без ограни</w:t>
        <w:softHyphen/>
        <w:t>чения общей продолжительности еженедельного служебного времени.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Кассационным определением Кассационного военного суда от 25 но</w:t>
        <w:softHyphen/>
        <w:t>ября 2020 г. судебные акты по результатам рассмотрения кассационной жа</w:t>
        <w:softHyphen/>
        <w:t>лобы административного истца отменены, по делу принято новое решение об удовлетворении заявленных Сватиковым В.М. требований.</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В кассационной жалобе административный ответчик просит отменить кассационное определение ввиду существенного нарушения Кассационным военным судом норм материального права и оставить в силе судебные акты гарнизонного и окружного военных судов.</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В обоснование жалобы ее заявитель указывает, что вывод суда кассационной инстанции о том, что контртеррористическая операция всегда проводится без ограничения общей продолжительности еженедельного служебного времени основан на неправильном истолковании Перечня мероприятий, которые проводятся при необходимости без ограничения общей продолжительности еженедельного служебного времени военнослужащих, утвержденного приказом Министра обороны Российской Федерации от 10 ноября 1998 г. № 492. Перечисленные в названном Перечне мероприятия, в том числе выполнение боевых и (или) специальных задач, могут проводиться без ограничения общей продолжительности еженедельного служебного времени только при наличии к тому необходимости. Такая необходимость в силу установленного Министром обороны Российской Федерации порядка в приказах от 14 февраля 2010 г. №80 и от 10 ноября 1998 г. № 492 подлежит отражению в приказах уполномоченного воинского должностного лица, чего в отношении Сватикова В.М. не делалось.</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В возражениях на кассационную жалобу административный истец, оп</w:t>
        <w:softHyphen/>
        <w:t>ровергая приведенные в ней доводы, просит в удовлетворении кассационной жалобы отказать.</w:t>
      </w:r>
    </w:p>
    <w:p>
      <w:pPr>
        <w:pStyle w:val="Style2"/>
        <w:keepNext w:val="0"/>
        <w:keepLines w:val="0"/>
        <w:widowControl w:val="0"/>
        <w:shd w:val="clear" w:color="auto" w:fill="auto"/>
        <w:bidi w:val="0"/>
        <w:spacing w:before="0" w:after="200" w:line="240" w:lineRule="auto"/>
        <w:ind w:left="0" w:right="0" w:firstLine="720"/>
        <w:jc w:val="both"/>
      </w:pPr>
      <w:r>
        <w:rPr>
          <w:color w:val="000000"/>
          <w:spacing w:val="0"/>
          <w:w w:val="100"/>
          <w:position w:val="0"/>
        </w:rPr>
        <w:t>Определением судьи Верховного Суда Российской Федерации от 3 марта 2021 г. кассационная жалоба начальника Управления финансового обеспечения с делом передана для рассмотрения в судебном заседании Судебной коллегии по делам военнослужащих.</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Лица, участвующие в деле, о времени и месте рассмотрения жалобы в кассационном порядке извещены своевременно и в надлежащей форме.</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Рассмотрев материалы административного дела, обсудив доводы кассационной жалобы и возражения на нее, Судебная коллегия по делам военнослужащих находит кассационное определение подлежащим отмене.</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Согласно ч. 1 ст.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Кассационным военным судом при рассмотрении данного дела допу</w:t>
        <w:softHyphen/>
        <w:t>щены существенные нарушения норм материального права, что выразилось в следующем.</w:t>
      </w:r>
    </w:p>
    <w:p>
      <w:pPr>
        <w:pStyle w:val="Style2"/>
        <w:keepNext w:val="0"/>
        <w:keepLines w:val="0"/>
        <w:widowControl w:val="0"/>
        <w:shd w:val="clear" w:color="auto" w:fill="auto"/>
        <w:tabs>
          <w:tab w:pos="9346" w:val="left"/>
        </w:tabs>
        <w:bidi w:val="0"/>
        <w:spacing w:before="0" w:after="0" w:line="240" w:lineRule="auto"/>
        <w:ind w:left="0" w:right="0" w:firstLine="720"/>
        <w:jc w:val="both"/>
      </w:pPr>
      <w:r>
        <w:rPr>
          <w:color w:val="000000"/>
          <w:spacing w:val="0"/>
          <w:w w:val="100"/>
          <w:position w:val="0"/>
        </w:rPr>
        <w:t>Из материалов дела следует, что Сватиков В.М. в период с 21 июня по 25 сентября 2019 г. находился в служебной командировке в н.п.</w:t>
        <w:tab/>
        <w:t>|</w:t>
      </w:r>
    </w:p>
    <w:p>
      <w:pPr>
        <w:pStyle w:val="Style2"/>
        <w:keepNext w:val="0"/>
        <w:keepLines w:val="0"/>
        <w:widowControl w:val="0"/>
        <w:shd w:val="clear" w:color="auto" w:fill="auto"/>
        <w:bidi w:val="0"/>
        <w:spacing w:before="0" w:after="0" w:line="240" w:lineRule="auto"/>
        <w:ind w:left="0" w:right="0" w:firstLine="960"/>
        <w:jc w:val="both"/>
      </w:pPr>
      <w:r>
        <w:rPr>
          <w:color w:val="000000"/>
          <w:spacing w:val="0"/>
          <w:w w:val="100"/>
          <w:position w:val="0"/>
        </w:rPr>
        <w:t>| Республики, где исполнял обязанности начальника отделения связи и автоматизации Оперативной группы в составе объединенного пункта управления командующего Объединенной группировки войск (сил) по про</w:t>
        <w:softHyphen/>
        <w:t>ведению контртеррористических операций на территории Северо</w:t>
        <w:softHyphen/>
        <w:t>Кавказского региона Российской Федерации.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Приказами руководителя названной Оперативной группы от 10 июля, 5 августа, 5 сентября и 24 октября 2019 г. Сватиков В.М. в периоды с 26 по 30 июня, с 1 по 31 июля, с 1 по 31 августа и с 1 по 22 сентября 2019 г. полагался принимавшим непосредственное участие в контртеррористической операции.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После прибытия из служебной командировки административный истец обратился по команде с рапортом о выплате денежной компенсации вместо предоставления дополнительных суток отдыха.</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Проектом приказа командира войсковой части 65363 названная денеж</w:t>
        <w:softHyphen/>
        <w:t>ная компенсация Сватикову В.М. определена к выплате. Однако начальник финансового органа в согласовании проекта приказа отказал.</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Признавая такой отказ законным, суды первой и апелляционной ин</w:t>
        <w:softHyphen/>
        <w:t>станций посчитали, что право административного истца на предоставление дополнительных суток отдыха и, как следствие, на получение денежной ком</w:t>
        <w:softHyphen/>
        <w:t>пенсации надлежащим образом не подтверждено.</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Отменяя судебные акты и возлагая на начальника финансового органа обязанность по повторному рассмотрению вопроса о согласовании проекта приказа относительно выплаты Сватикову В.М. денежной компенсации, суд кассационной инстанции на основе анализа положений п. 3 ст. 11 Федераль</w:t>
        <w:softHyphen/>
        <w:t xml:space="preserve">ного закона от 27 мая 1998 г. № 76-ФЗ «О статусе военнослужащих» (далее - Федеральный закон «О статусе военнослужащих»), п. 5 ст. 3 Федерального закона от 6 марта 2006 г. № 35-ФЗ «О противодействии терроризму» (далее - </w:t>
      </w:r>
      <w:r>
        <w:rPr>
          <w:color w:val="000000"/>
          <w:spacing w:val="0"/>
          <w:w w:val="100"/>
          <w:position w:val="0"/>
        </w:rPr>
        <w:t>Федеральный закон «О противодействии терроризму»), п. 15 Перечня меро</w:t>
        <w:softHyphen/>
        <w:t>приятий, которые проводятся при необходимости без ограничения общей продолжительности еженедельного служебного времени военнослужащих, утвержденного приказом Министра обороны Российской Федерации от 10 ноября 1998 г. № 492, пришел к выводу, что участие в контртеррористиче</w:t>
        <w:softHyphen/>
        <w:t>ских операциях само по себе является привлечением военнослужащего к ис</w:t>
        <w:softHyphen/>
        <w:t>полнению обязанностей военной службы без ограничения общей продолжи</w:t>
        <w:softHyphen/>
        <w:t>тельности еженедельного служебного времени, в связи с чем административ</w:t>
        <w:softHyphen/>
        <w:t>ный истец вправе претендовать на выплату денежной компенсации.</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Кроме того, суд кассационной инстанции посчитал применимыми к рассматриваемому спору положения Порядка и условий выплаты денежной компенсации военнослужащим, проходящим военную службу по контракту, участвующим в мероприятиях, направленным в воинские части, дислоциро</w:t>
        <w:softHyphen/>
        <w:t>ванные на территории иностранного государства, утвержденного приказом Министра обороны Российской Федерации от 9 февраля 2017 г. № 95дсп.</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Такие выводы суда кассационной инстанции основаны на неправиль</w:t>
        <w:softHyphen/>
        <w:t>ном применении норм материального права.</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Основания выплаты денежной компенсации вместо предоставления дополнительных суток отдыха определены Федеральным законом «О статусе военнослужащих».</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В соответствии с п. 3 ст. 11 названного Федерального закона военно</w:t>
        <w:softHyphen/>
        <w:t>служащим, проходящим военную службу по контракту, участвующим в ме</w:t>
        <w:softHyphen/>
        <w:t>роприятиях, которые проводятся при необходимости без ограничения общей продолжительности еженедельного служебного времени, по их просьбе вме</w:t>
        <w:softHyphen/>
        <w:t>сто предоставления дополнительных суток отдыха может выплачиваться де</w:t>
        <w:softHyphen/>
        <w:t>нежная компенсация. Порядок и условия выплаты денежной компенсации устанавливаются руководителем федерального органа исполнительной вла</w:t>
        <w:softHyphen/>
        <w:t>сти или федерального государственного органа, в которых федеральным за</w:t>
        <w:softHyphen/>
        <w:t>коном предусмотрена военная служба.</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Перечень мероприятий, которые проводятся при необходимости без ограничения общей продолжительности еженедельного служебного времени в Вооруженных Силах Российской Федерации, утвержден приказом Минист</w:t>
        <w:softHyphen/>
        <w:t>ра обороны Российской Федерации от 10 ноября 1998 г. № 492 (далее - Пе</w:t>
        <w:softHyphen/>
        <w:t>речень мероприятий), а порядок и условия выплаты денежной компенсации установлены приказом Министра обороны Российской Федерации от 14 фев</w:t>
        <w:softHyphen/>
        <w:t>раля 2010 г. № 80.</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В силу п. 15 Перечня мероприятий при необходимости без ограничения общей продолжительности еженедельного служебного времени производится выполнение в том числе боевых и (или) специальных задач, определенных законодательством и (или) иными нормативными правовыми актами Россий</w:t>
        <w:softHyphen/>
        <w:t>ской Федерации.</w:t>
      </w:r>
    </w:p>
    <w:p>
      <w:pPr>
        <w:pStyle w:val="Style2"/>
        <w:keepNext w:val="0"/>
        <w:keepLines w:val="0"/>
        <w:widowControl w:val="0"/>
        <w:shd w:val="clear" w:color="auto" w:fill="auto"/>
        <w:bidi w:val="0"/>
        <w:spacing w:before="0" w:after="0" w:line="240" w:lineRule="auto"/>
        <w:ind w:left="0" w:right="0" w:firstLine="740"/>
        <w:jc w:val="both"/>
      </w:pPr>
      <w:r>
        <w:rPr>
          <w:color w:val="000000"/>
          <w:spacing w:val="0"/>
          <w:w w:val="100"/>
          <w:position w:val="0"/>
        </w:rPr>
        <w:t>Согласно п. 2 приказа Министра обороны Российской Федерации от 14 февраля 2010 г. № 80 выплата денежной компенсации производится на осно</w:t>
        <w:softHyphen/>
        <w:t>вании приказов уполномоченных должностных лиц о привлечении военно</w:t>
        <w:softHyphen/>
      </w:r>
      <w:r>
        <w:rPr>
          <w:color w:val="000000"/>
          <w:spacing w:val="0"/>
          <w:w w:val="100"/>
          <w:position w:val="0"/>
        </w:rPr>
        <w:t>служащих к исполнению обязанностей военной службы без ограничения об</w:t>
        <w:softHyphen/>
        <w:t>щей продолжительности еженедельного служебного времени с указанием в них необходимости и периода проведения мероприятий.</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Содержание названных правовых норм указывает на то, что обязатель</w:t>
        <w:softHyphen/>
        <w:t>ным условием выплаты денежной компенсации является необходимость про</w:t>
        <w:softHyphen/>
        <w:t>ведения мероприятий без ограничения общей продолжительности ежене</w:t>
        <w:softHyphen/>
        <w:t>дельного служебного времени и такая необходимость должна быть обосно</w:t>
        <w:softHyphen/>
        <w:t>вана в соответствующем приказе о выплате компенсации.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Из проекта приказа о выплате Сватикову В.М. денежной компенсации вместо предоставления дополнительных суток отдыха следует, что в нем не обоснована необходимость проведения мероприятий, в которых участвовал административный истец, без ограничения общей продолжительности еже</w:t>
        <w:softHyphen/>
        <w:t>недельного служебного времени. Отсутствует такое указание и в приказах о непосредственном участии Сватикова В.М. в контртеррористической опера</w:t>
        <w:softHyphen/>
        <w:t>ции.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С учетом изложенного участие административного истца в контртер</w:t>
        <w:softHyphen/>
        <w:t>рористической операции, понятие которой определено в п. 5 ст. 3 Федераль</w:t>
        <w:softHyphen/>
        <w:t>ного закона «О противодействии терроризму», само по себе не является без</w:t>
        <w:softHyphen/>
        <w:t>условным основанием для выплаты денежной компенсации вместо предос</w:t>
        <w:softHyphen/>
        <w:t>тавления дополнительных суток отдыха по основаниям, установленным Фе</w:t>
        <w:softHyphen/>
        <w:t>деральным законом «О статусе военнослужащих».</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Кроме того, согласно ч. 2 ст. 20 Федерального закона «О противодейст</w:t>
        <w:softHyphen/>
        <w:t>вии терроризму» социальная защита лиц, участвующих в борьбе с террориз</w:t>
        <w:softHyphen/>
        <w:t>мом, осуществляется с учетом правового статуса таких лиц, устанавливаемо</w:t>
        <w:softHyphen/>
        <w:t>го федеральными законами и иными нормативными правовыми актами Рос</w:t>
        <w:softHyphen/>
        <w:t>сийской Федерации, в порядке, установленном Правительством Российской Федерации, а в силу ст. 23 названного Закона время непосредственного уча</w:t>
        <w:softHyphen/>
        <w:t>стия в контртеррористической операции засчитывается в льготное исчисле</w:t>
        <w:softHyphen/>
        <w:t>ние выслуг лет и для установления повышенных должностных окладов, а также дополнительных гарантий и компенсаций.</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В развитие Федерального закона «О противодействии терроризму» Правительством Российской Федерации изданы постановления от 9 февраля 2004 г. № 65 «О дополнительных гарантиях и компенсациях военнослужа</w:t>
        <w:softHyphen/>
        <w:t>щим и сотрудникам федеральных органов исполнительной власти, участ</w:t>
        <w:softHyphen/>
        <w:t>вующим в контртеррористических операциях и обеспечивающим правопоря</w:t>
        <w:softHyphen/>
        <w:t>док и общественную безопасность на территории Северо-Кавказского регио</w:t>
        <w:softHyphen/>
        <w:t>на Российской Федерации» и от 29 декабря 2011 г. № 1174 «О дополнитель</w:t>
        <w:softHyphen/>
        <w:t>ных выплатах отдельным категориям военнослужащих и сотрудников феде</w:t>
        <w:softHyphen/>
        <w:t>ральных органов исполнительной власти».</w:t>
      </w:r>
    </w:p>
    <w:p>
      <w:pPr>
        <w:pStyle w:val="Style2"/>
        <w:keepNext w:val="0"/>
        <w:keepLines w:val="0"/>
        <w:widowControl w:val="0"/>
        <w:shd w:val="clear" w:color="auto" w:fill="auto"/>
        <w:bidi w:val="0"/>
        <w:spacing w:before="0" w:after="0" w:line="240" w:lineRule="auto"/>
        <w:ind w:left="0" w:right="0" w:firstLine="720"/>
        <w:jc w:val="both"/>
      </w:pPr>
      <w:r>
        <w:rPr>
          <w:color w:val="000000"/>
          <w:spacing w:val="0"/>
          <w:w w:val="100"/>
          <w:position w:val="0"/>
        </w:rPr>
        <w:t>Как следует из приказов руководителя Оперативной группы в составе объединенного пункта управления командующего Объединенной группиров</w:t>
        <w:softHyphen/>
        <w:t>ки войск (сил) по проведению контртеррористических операций на террито</w:t>
        <w:softHyphen/>
        <w:t>рии Северо-Кавказского региона Российской Федерации в отношении Свати</w:t>
        <w:softHyphen/>
        <w:t>кова В.М., именно для целей реализации указанных гарантий и компенсаций</w:t>
        <w:br w:type="page"/>
      </w:r>
      <w:r>
        <w:rPr>
          <w:color w:val="000000"/>
          <w:spacing w:val="0"/>
          <w:w w:val="100"/>
          <w:position w:val="0"/>
        </w:rPr>
        <w:t>определялись периоды его непосредственного участия в контртеррористиче</w:t>
        <w:softHyphen/>
        <w:t>ской операции.</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Что касается приказа Министра обороны Российской Федерации от 9 февраля 2017 г. № 95дсп, то он спорные правоотношения не регулирует, в связи с чем ссылка на него в кассационном определении несостоятельна.</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При таких данных отказ финансового органа в согласовании проекта приказа командира войсковой части 65363 прав административного истца не нарушает.</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Допущенные судом кассационной инстанции нарушения повлияли на исход дела и без их устранения невозможны восстановление и защита нару</w:t>
        <w:softHyphen/>
        <w:t>шенных прав, свобод и законных интересов, а также защита охраняемых за</w:t>
        <w:softHyphen/>
        <w:t>коном публичных интересов, что является основанием для отмены в кассаци</w:t>
        <w:softHyphen/>
        <w:t>онном порядке обжалуемого кассационного определения Кассационного во</w:t>
        <w:softHyphen/>
        <w:t>енного суда и оставления в силе решения Волгоградского гарнизонного во</w:t>
        <w:softHyphen/>
        <w:t>енного суда от 21 января 2020 г. и апелляционного определения Южного ок</w:t>
        <w:softHyphen/>
        <w:t>ружного военного суда от 15 апреля 2020 г.</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pPr>
        <w:pStyle w:val="Style2"/>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rPr>
        <w:t>определила:</w:t>
      </w:r>
    </w:p>
    <w:p>
      <w:pPr>
        <w:pStyle w:val="Style2"/>
        <w:keepNext w:val="0"/>
        <w:keepLines w:val="0"/>
        <w:widowControl w:val="0"/>
        <w:shd w:val="clear" w:color="auto" w:fill="auto"/>
        <w:bidi w:val="0"/>
        <w:spacing w:before="0" w:after="0" w:line="240" w:lineRule="auto"/>
        <w:ind w:left="0" w:right="0" w:firstLine="700"/>
        <w:jc w:val="both"/>
      </w:pPr>
      <w:r>
        <w:rPr>
          <w:color w:val="000000"/>
          <w:spacing w:val="0"/>
          <w:w w:val="100"/>
          <w:position w:val="0"/>
        </w:rPr>
        <w:t>кассационное определение Кассационного военного суда от 25 ноября 2020 г. отменить.</w:t>
      </w:r>
    </w:p>
    <w:p>
      <w:pPr>
        <w:pStyle w:val="Style2"/>
        <w:keepNext w:val="0"/>
        <w:keepLines w:val="0"/>
        <w:widowControl w:val="0"/>
        <w:shd w:val="clear" w:color="auto" w:fill="auto"/>
        <w:bidi w:val="0"/>
        <w:spacing w:before="0" w:after="640" w:line="240" w:lineRule="auto"/>
        <w:ind w:left="0" w:right="0" w:firstLine="700"/>
        <w:jc w:val="both"/>
      </w:pPr>
      <w:r>
        <w:rPr>
          <w:color w:val="000000"/>
          <w:spacing w:val="0"/>
          <w:w w:val="100"/>
          <w:position w:val="0"/>
        </w:rPr>
        <w:t>Оставить в силе решение Волгоградского гарнизонного военного суда от 21 января 2020 г. и апелляционное определение Южного окружного воен</w:t>
        <w:softHyphen/>
        <w:t>ного суда от 15 апреля 2020 г.</w:t>
      </w:r>
    </w:p>
    <w:p>
      <w:pPr>
        <w:pStyle w:val="Style2"/>
        <w:keepNext w:val="0"/>
        <w:keepLines w:val="0"/>
        <w:widowControl w:val="0"/>
        <w:shd w:val="clear" w:color="auto" w:fill="auto"/>
        <w:bidi w:val="0"/>
        <w:spacing w:before="0" w:after="400" w:line="240" w:lineRule="auto"/>
        <w:ind w:left="0" w:right="0" w:firstLine="0"/>
        <w:jc w:val="both"/>
      </w:pPr>
      <w:r>
        <mc:AlternateContent>
          <mc:Choice Requires="wps">
            <w:drawing>
              <wp:anchor distT="0" distB="0" distL="114300" distR="114300" simplePos="0" relativeHeight="125829378" behindDoc="0" locked="0" layoutInCell="1" allowOverlap="1">
                <wp:simplePos x="0" y="0"/>
                <wp:positionH relativeFrom="page">
                  <wp:posOffset>5645150</wp:posOffset>
                </wp:positionH>
                <wp:positionV relativeFrom="paragraph">
                  <wp:posOffset>12700</wp:posOffset>
                </wp:positionV>
                <wp:extent cx="1085215" cy="737870"/>
                <wp:wrapSquare wrapText="left"/>
                <wp:docPr id="1" name="Shape 1"/>
                <a:graphic xmlns:a="http://schemas.openxmlformats.org/drawingml/2006/main">
                  <a:graphicData uri="http://schemas.microsoft.com/office/word/2010/wordprocessingShape">
                    <wps:wsp>
                      <wps:cNvSpPr txBox="1"/>
                      <wps:spPr>
                        <a:xfrm>
                          <a:ext cx="1085215" cy="737870"/>
                        </a:xfrm>
                        <a:prstGeom prst="rect"/>
                        <a:noFill/>
                      </wps:spPr>
                      <wps:txbx>
                        <w:txbxContent>
                          <w:p>
                            <w:pPr>
                              <w:pStyle w:val="Style2"/>
                              <w:keepNext w:val="0"/>
                              <w:keepLines w:val="0"/>
                              <w:widowControl w:val="0"/>
                              <w:shd w:val="clear" w:color="auto" w:fill="auto"/>
                              <w:bidi w:val="0"/>
                              <w:spacing w:before="0" w:after="320" w:line="240" w:lineRule="auto"/>
                              <w:ind w:left="0" w:right="0" w:firstLine="0"/>
                              <w:jc w:val="left"/>
                            </w:pPr>
                            <w:r>
                              <w:rPr>
                                <w:color w:val="000000"/>
                                <w:spacing w:val="0"/>
                                <w:w w:val="100"/>
                                <w:position w:val="0"/>
                              </w:rPr>
                              <w:t>И.В. Крупнов</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ЮЗ^Воронов</w:t>
                            </w:r>
                          </w:p>
                          <w:p>
                            <w:pPr>
                              <w:pStyle w:val="Style4"/>
                              <w:keepNext w:val="0"/>
                              <w:keepLines w:val="0"/>
                              <w:widowControl w:val="0"/>
                              <w:shd w:val="clear" w:color="auto" w:fill="auto"/>
                              <w:bidi w:val="0"/>
                              <w:spacing w:before="0" w:after="0" w:line="240" w:lineRule="auto"/>
                              <w:ind w:left="0" w:right="0"/>
                              <w:jc w:val="left"/>
                            </w:pPr>
                            <w:r>
                              <w:rPr>
                                <w:color w:val="000000"/>
                                <w:spacing w:val="0"/>
                                <w:w w:val="100"/>
                                <w:position w:val="0"/>
                              </w:rPr>
                              <w:t>г*</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44.5pt;margin-top:1.pt;width:85.450000000000003pt;height:58.100000000000001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320" w:line="240" w:lineRule="auto"/>
                        <w:ind w:left="0" w:right="0" w:firstLine="0"/>
                        <w:jc w:val="left"/>
                      </w:pPr>
                      <w:r>
                        <w:rPr>
                          <w:color w:val="000000"/>
                          <w:spacing w:val="0"/>
                          <w:w w:val="100"/>
                          <w:position w:val="0"/>
                        </w:rPr>
                        <w:t>И.В. Крупнов</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ЮЗ^Воронов</w:t>
                      </w:r>
                    </w:p>
                    <w:p>
                      <w:pPr>
                        <w:pStyle w:val="Style4"/>
                        <w:keepNext w:val="0"/>
                        <w:keepLines w:val="0"/>
                        <w:widowControl w:val="0"/>
                        <w:shd w:val="clear" w:color="auto" w:fill="auto"/>
                        <w:bidi w:val="0"/>
                        <w:spacing w:before="0" w:after="0" w:line="240" w:lineRule="auto"/>
                        <w:ind w:left="0" w:right="0"/>
                        <w:jc w:val="left"/>
                      </w:pPr>
                      <w:r>
                        <w:rPr>
                          <w:color w:val="000000"/>
                          <w:spacing w:val="0"/>
                          <w:w w:val="100"/>
                          <w:position w:val="0"/>
                        </w:rPr>
                        <w:t>г*</w:t>
                      </w:r>
                    </w:p>
                  </w:txbxContent>
                </v:textbox>
                <w10:wrap type="square" side="left" anchorx="page"/>
              </v:shape>
            </w:pict>
          </mc:Fallback>
        </mc:AlternateContent>
      </w:r>
      <w:r>
        <w:rPr>
          <w:color w:val="000000"/>
          <w:spacing w:val="0"/>
          <w:w w:val="100"/>
          <w:position w:val="0"/>
        </w:rPr>
        <w:t>Председательствующий</w:t>
      </w:r>
    </w:p>
    <w:p>
      <w:pPr>
        <w:pStyle w:val="Style2"/>
        <w:keepNext w:val="0"/>
        <w:keepLines w:val="0"/>
        <w:widowControl w:val="0"/>
        <w:shd w:val="clear" w:color="auto" w:fill="auto"/>
        <w:bidi w:val="0"/>
        <w:spacing w:before="0" w:after="400" w:line="240" w:lineRule="auto"/>
        <w:ind w:left="0" w:right="0" w:firstLine="0"/>
        <w:jc w:val="both"/>
      </w:pPr>
      <w:r>
        <w:rPr>
          <w:color w:val="000000"/>
          <w:spacing w:val="0"/>
          <w:w w:val="100"/>
          <w:position w:val="0"/>
        </w:rPr>
        <w:t>Судьи:</w:t>
      </w:r>
    </w:p>
    <w:p>
      <w:pPr>
        <w:pStyle w:val="Style2"/>
        <w:keepNext w:val="0"/>
        <w:keepLines w:val="0"/>
        <w:widowControl w:val="0"/>
        <w:shd w:val="clear" w:color="auto" w:fill="auto"/>
        <w:bidi w:val="0"/>
        <w:spacing w:before="0" w:after="360" w:line="240" w:lineRule="auto"/>
        <w:ind w:left="0" w:right="240" w:firstLine="0"/>
        <w:jc w:val="right"/>
      </w:pPr>
      <w:r>
        <w:rPr>
          <w:color w:val="000000"/>
          <w:spacing w:val="0"/>
          <w:w w:val="100"/>
          <w:position w:val="0"/>
        </w:rPr>
        <w:t>А.Н. Замашнюк</w:t>
      </w:r>
    </w:p>
    <w:sectPr>
      <w:headerReference w:type="default" r:id="rId5"/>
      <w:headerReference w:type="first" r:id="rId6"/>
      <w:footnotePr>
        <w:pos w:val="pageBottom"/>
        <w:numFmt w:val="decimal"/>
        <w:numRestart w:val="continuous"/>
      </w:footnotePr>
      <w:pgSz w:w="11900" w:h="16840"/>
      <w:pgMar w:top="1218" w:right="773" w:bottom="1241" w:left="1632" w:header="0" w:footer="3" w:gutter="0"/>
      <w:pgNumType w:start="1"/>
      <w:cols w:space="720"/>
      <w:noEndnote/>
      <w:titlePg/>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3991610</wp:posOffset>
              </wp:positionH>
              <wp:positionV relativeFrom="page">
                <wp:posOffset>447675</wp:posOffset>
              </wp:positionV>
              <wp:extent cx="64135" cy="106680"/>
              <wp:wrapNone/>
              <wp:docPr id="3" name="Shape 3"/>
              <a:graphic xmlns:a="http://schemas.openxmlformats.org/drawingml/2006/main">
                <a:graphicData uri="http://schemas.microsoft.com/office/word/2010/wordprocessingShape">
                  <wps:wsp>
                    <wps:cNvSpPr txBox="1"/>
                    <wps:spPr>
                      <a:xfrm>
                        <a:ext cx="64135" cy="10668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29" type="#_x0000_t202" style="position:absolute;margin-left:314.30000000000001pt;margin-top:35.25pt;width:5.0499999999999998pt;height:8.4000000000000004pt;z-index:-18874406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5">
    <w:name w:val="Основной текст (2)_"/>
    <w:basedOn w:val="DefaultParagraphFont"/>
    <w:link w:val="Style4"/>
    <w:rPr>
      <w:rFonts w:ascii="Times New Roman" w:eastAsia="Times New Roman" w:hAnsi="Times New Roman" w:cs="Times New Roman"/>
      <w:b w:val="0"/>
      <w:bCs w:val="0"/>
      <w:i/>
      <w:iCs/>
      <w:smallCaps w:val="0"/>
      <w:strike w:val="0"/>
      <w:sz w:val="10"/>
      <w:szCs w:val="10"/>
      <w:u w:val="none"/>
      <w:shd w:val="clear" w:color="auto" w:fill="auto"/>
    </w:rPr>
  </w:style>
  <w:style w:type="character" w:customStyle="1" w:styleId="CharStyle7">
    <w:name w:val="Заголовок №1_"/>
    <w:basedOn w:val="DefaultParagraphFont"/>
    <w:link w:val="Style6"/>
    <w:rPr>
      <w:rFonts w:ascii="Times New Roman" w:eastAsia="Times New Roman" w:hAnsi="Times New Roman" w:cs="Times New Roman"/>
      <w:b/>
      <w:bCs/>
      <w:i w:val="0"/>
      <w:iCs w:val="0"/>
      <w:smallCaps w:val="0"/>
      <w:strike w:val="0"/>
      <w:sz w:val="42"/>
      <w:szCs w:val="42"/>
      <w:u w:val="none"/>
      <w:shd w:val="clear" w:color="auto" w:fill="auto"/>
    </w:rPr>
  </w:style>
  <w:style w:type="character" w:customStyle="1" w:styleId="CharStyle9">
    <w:name w:val="Заголовок №2_"/>
    <w:basedOn w:val="DefaultParagraphFont"/>
    <w:link w:val="Style8"/>
    <w:rPr>
      <w:rFonts w:ascii="Times New Roman" w:eastAsia="Times New Roman" w:hAnsi="Times New Roman" w:cs="Times New Roman"/>
      <w:b/>
      <w:bCs/>
      <w:i w:val="0"/>
      <w:iCs w:val="0"/>
      <w:smallCaps w:val="0"/>
      <w:strike w:val="0"/>
      <w:sz w:val="38"/>
      <w:szCs w:val="38"/>
      <w:u w:val="none"/>
      <w:shd w:val="clear" w:color="auto" w:fill="auto"/>
    </w:rPr>
  </w:style>
  <w:style w:type="character" w:customStyle="1" w:styleId="CharStyle12">
    <w:name w:val="Колонтитул (2)_"/>
    <w:basedOn w:val="DefaultParagraphFont"/>
    <w:link w:val="Style11"/>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
    <w:name w:val="Основной текст"/>
    <w:basedOn w:val="Normal"/>
    <w:link w:val="CharStyle3"/>
    <w:pPr>
      <w:widowControl w:val="0"/>
      <w:shd w:val="clear" w:color="auto" w:fill="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4">
    <w:name w:val="Основной текст (2)"/>
    <w:basedOn w:val="Normal"/>
    <w:link w:val="CharStyle5"/>
    <w:pPr>
      <w:widowControl w:val="0"/>
      <w:shd w:val="clear" w:color="auto" w:fill="auto"/>
      <w:ind w:firstLine="140"/>
    </w:pPr>
    <w:rPr>
      <w:rFonts w:ascii="Times New Roman" w:eastAsia="Times New Roman" w:hAnsi="Times New Roman" w:cs="Times New Roman"/>
      <w:b w:val="0"/>
      <w:bCs w:val="0"/>
      <w:i/>
      <w:iCs/>
      <w:smallCaps w:val="0"/>
      <w:strike w:val="0"/>
      <w:sz w:val="10"/>
      <w:szCs w:val="10"/>
      <w:u w:val="none"/>
      <w:shd w:val="clear" w:color="auto" w:fill="auto"/>
    </w:rPr>
  </w:style>
  <w:style w:type="paragraph" w:customStyle="1" w:styleId="Style6">
    <w:name w:val="Заголовок №1"/>
    <w:basedOn w:val="Normal"/>
    <w:link w:val="CharStyle7"/>
    <w:pPr>
      <w:widowControl w:val="0"/>
      <w:shd w:val="clear" w:color="auto" w:fill="auto"/>
      <w:spacing w:before="2860" w:line="288" w:lineRule="auto"/>
      <w:jc w:val="center"/>
      <w:outlineLvl w:val="0"/>
    </w:pPr>
    <w:rPr>
      <w:rFonts w:ascii="Times New Roman" w:eastAsia="Times New Roman" w:hAnsi="Times New Roman" w:cs="Times New Roman"/>
      <w:b/>
      <w:bCs/>
      <w:i w:val="0"/>
      <w:iCs w:val="0"/>
      <w:smallCaps w:val="0"/>
      <w:strike w:val="0"/>
      <w:sz w:val="42"/>
      <w:szCs w:val="42"/>
      <w:u w:val="none"/>
      <w:shd w:val="clear" w:color="auto" w:fill="auto"/>
    </w:rPr>
  </w:style>
  <w:style w:type="paragraph" w:customStyle="1" w:styleId="Style8">
    <w:name w:val="Заголовок №2"/>
    <w:basedOn w:val="Normal"/>
    <w:link w:val="CharStyle9"/>
    <w:pPr>
      <w:widowControl w:val="0"/>
      <w:shd w:val="clear" w:color="auto" w:fill="auto"/>
      <w:spacing w:after="640"/>
      <w:ind w:firstLine="660"/>
      <w:outlineLvl w:val="1"/>
    </w:pPr>
    <w:rPr>
      <w:rFonts w:ascii="Times New Roman" w:eastAsia="Times New Roman" w:hAnsi="Times New Roman" w:cs="Times New Roman"/>
      <w:b/>
      <w:bCs/>
      <w:i w:val="0"/>
      <w:iCs w:val="0"/>
      <w:smallCaps w:val="0"/>
      <w:strike w:val="0"/>
      <w:sz w:val="38"/>
      <w:szCs w:val="38"/>
      <w:u w:val="none"/>
      <w:shd w:val="clear" w:color="auto" w:fill="auto"/>
    </w:rPr>
  </w:style>
  <w:style w:type="paragraph" w:customStyle="1" w:styleId="Style11">
    <w:name w:val="Колонтитул (2)"/>
    <w:basedOn w:val="Normal"/>
    <w:link w:val="CharStyle12"/>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s>
</file>

<file path=docProps/core.xml><?xml version="1.0" encoding="utf-8"?>
<cp:coreProperties xmlns:cp="http://schemas.openxmlformats.org/package/2006/metadata/core-properties" xmlns:dc="http://purl.org/dc/elements/1.1/">
  <dc:title>Банк судебных решений</dc:title>
  <dc:subject/>
  <dc:creator>Верховный Суд Российской Федерации</dc:creator>
  <cp:keywords/>
</cp:coreProperties>
</file>