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8C9" w:rsidRPr="00803502" w:rsidRDefault="006D48C9" w:rsidP="006D48C9">
      <w:pPr>
        <w:autoSpaceDE w:val="0"/>
        <w:autoSpaceDN w:val="0"/>
        <w:adjustRightInd w:val="0"/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803502">
        <w:rPr>
          <w:rFonts w:ascii="Times New Roman" w:hAnsi="Times New Roman" w:cs="Times New Roman"/>
          <w:b/>
          <w:sz w:val="24"/>
          <w:szCs w:val="24"/>
        </w:rPr>
        <w:t>48. Несовершеннолетние, ставшие собственниками жилого помещения в порядке его приватизации, имеют право после достижения ими совершеннолетия на повторную приватизацию иного жилого помещения.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803502">
        <w:rPr>
          <w:rFonts w:ascii="Times New Roman" w:hAnsi="Times New Roman" w:cs="Times New Roman"/>
          <w:sz w:val="24"/>
          <w:szCs w:val="24"/>
        </w:rPr>
        <w:t xml:space="preserve">Решением </w:t>
      </w:r>
      <w:proofErr w:type="spellStart"/>
      <w:r w:rsidRPr="00803502">
        <w:rPr>
          <w:rFonts w:ascii="Times New Roman" w:hAnsi="Times New Roman" w:cs="Times New Roman"/>
          <w:sz w:val="24"/>
          <w:szCs w:val="24"/>
        </w:rPr>
        <w:t>Реутовского</w:t>
      </w:r>
      <w:proofErr w:type="spellEnd"/>
      <w:r w:rsidRPr="00803502">
        <w:rPr>
          <w:rFonts w:ascii="Times New Roman" w:hAnsi="Times New Roman" w:cs="Times New Roman"/>
          <w:sz w:val="24"/>
          <w:szCs w:val="24"/>
        </w:rPr>
        <w:t xml:space="preserve"> гарнизонного военного суда от 25 марта 2019 г., оставленным без изменения апелляционным определением Московского окружного военного суда от 1 августа 2019 г. и определением Кассационного военного суда от 26 февраля 2020 г., З. отказано в удовлетворении административного искового заявления, в котором он просил признать незаконным решение жилищной комиссии воинской части, касающееся определения предельной нормы предоставления общей площади жилого</w:t>
      </w:r>
      <w:proofErr w:type="gramEnd"/>
      <w:r w:rsidRPr="0080350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03502">
        <w:rPr>
          <w:rFonts w:ascii="Times New Roman" w:hAnsi="Times New Roman" w:cs="Times New Roman"/>
          <w:sz w:val="24"/>
          <w:szCs w:val="24"/>
        </w:rPr>
        <w:t>помещения по договору социального найма, обязать командира и жилищную комиссию</w:t>
      </w:r>
      <w:proofErr w:type="gramEnd"/>
      <w:r w:rsidRPr="00803502">
        <w:rPr>
          <w:rFonts w:ascii="Times New Roman" w:hAnsi="Times New Roman" w:cs="Times New Roman"/>
          <w:sz w:val="24"/>
          <w:szCs w:val="24"/>
        </w:rPr>
        <w:t xml:space="preserve"> воинской части его отменить и принять решение о признании его совместно с членами семьи (супруга, дочь и сын) нуждающимися в жилом помещении.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Рассмотрев материалы дела по кассационной жалобе административного истца, Судебная коллегия пришла к выводу, что судами при рассмотрении дела допущена ошибка в толковании норм материального права, что выразилось в следующем.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803502">
        <w:rPr>
          <w:rFonts w:ascii="Times New Roman" w:hAnsi="Times New Roman" w:cs="Times New Roman"/>
          <w:sz w:val="24"/>
          <w:szCs w:val="24"/>
        </w:rPr>
        <w:t>Из материалов дела следует, что супруга административного истца в составе семьи своего отца - военнослужащего в 1994 году была обеспечена жилым помещением общей площадью 72,3 кв. м (на 4 человека), которое в 1998 г. приватизировано в равных долях (по 1/4) на всех членов семьи, в результате чего в ее собственность перешло 18,075 кв. м общей площади жилого помещения.</w:t>
      </w:r>
      <w:proofErr w:type="gramEnd"/>
      <w:r w:rsidRPr="00803502">
        <w:rPr>
          <w:rFonts w:ascii="Times New Roman" w:hAnsi="Times New Roman" w:cs="Times New Roman"/>
          <w:sz w:val="24"/>
          <w:szCs w:val="24"/>
        </w:rPr>
        <w:t xml:space="preserve"> В феврале 2005 года З.И. распорядилась указанной долей жилого помещения, подарив ее своему отцу.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803502">
        <w:rPr>
          <w:rFonts w:ascii="Times New Roman" w:hAnsi="Times New Roman" w:cs="Times New Roman"/>
          <w:sz w:val="24"/>
          <w:szCs w:val="24"/>
        </w:rPr>
        <w:t>Решением жилищной комиссии от 22 января 2018 г. (с изменениями от 21 марта 2019 г.), утвержденным командиром воинской части, З. признан нуждающимся в жилом помещении, предоставляемом по договору социального найма, на состав семьи из 4 человек (он, супруга, двое детей) с учетом ранее полученной его супругой за счет государства доли жилого помещения.</w:t>
      </w:r>
      <w:proofErr w:type="gramEnd"/>
      <w:r w:rsidRPr="00803502">
        <w:rPr>
          <w:rFonts w:ascii="Times New Roman" w:hAnsi="Times New Roman" w:cs="Times New Roman"/>
          <w:sz w:val="24"/>
          <w:szCs w:val="24"/>
        </w:rPr>
        <w:t xml:space="preserve"> При этом определена предельная норма общей площади жилого помещения в размере 62, 9 кв. м (18 </w:t>
      </w:r>
      <w:proofErr w:type="spellStart"/>
      <w:r w:rsidRPr="00803502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03502">
        <w:rPr>
          <w:rFonts w:ascii="Times New Roman" w:hAnsi="Times New Roman" w:cs="Times New Roman"/>
          <w:sz w:val="24"/>
          <w:szCs w:val="24"/>
        </w:rPr>
        <w:t xml:space="preserve"> 4 + 9 - 18,075), предоставляемого семье административного истца.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Отказывая в удовлетворении административного искового заявления, суд первой инстанции исходил из того, что реализация права на жилище военнослужащих и членов их семей осуществляется путем предоставления жилого помещения для постоянного проживания один раз в порядке, установленном Федеральным законом "О статусе военнослужащих". Поэтому, если указанные лица намерены получить другое жилое помещение, то они обязаны сдать жилье, ранее полученное с использованием предоставленного им данным законом статуса.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Супруга административного истца ранее была обеспечена жилым помещением в качестве члена семьи военнослужащего, но своей долей распорядилась, поэтому обеспечение семьи З. жилым помещением по договору социального найма общей площадью более 62,9 кв. м приведет к сверхнормативному обеспечению жильем.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Между тем, учитывая ранее полученную супругой в несовершеннолетнем возрасте за счет государства долю в жилом помещении, суды оставили без внимания, что для несовершеннолетних государство предоставляет дополнительные жилищные права, реализуемые после достижения ими совершеннолетия.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803502">
        <w:rPr>
          <w:rFonts w:ascii="Times New Roman" w:hAnsi="Times New Roman" w:cs="Times New Roman"/>
          <w:sz w:val="24"/>
          <w:szCs w:val="24"/>
        </w:rPr>
        <w:t xml:space="preserve">В соответствии с ч. 1 ст. 2 Закона Российской Федерации от 4 июля 1991 г. N 1541-1 "О приватизации жилищного фонда в Российской Федерации" (далее - Закон) граждане Российской Федерации, имеющие право пользования жилыми помещениями государственного или муниципального жилищного фонда на условиях социального найма, вправе приобрести их на условиях, предусмотренных названным Законом, иными </w:t>
      </w:r>
      <w:r w:rsidRPr="00803502">
        <w:rPr>
          <w:rFonts w:ascii="Times New Roman" w:hAnsi="Times New Roman" w:cs="Times New Roman"/>
          <w:sz w:val="24"/>
          <w:szCs w:val="24"/>
        </w:rPr>
        <w:lastRenderedPageBreak/>
        <w:t>нормативными правовыми актами Российской Федерации и нормативными правовыми</w:t>
      </w:r>
      <w:proofErr w:type="gramEnd"/>
      <w:r w:rsidRPr="00803502">
        <w:rPr>
          <w:rFonts w:ascii="Times New Roman" w:hAnsi="Times New Roman" w:cs="Times New Roman"/>
          <w:sz w:val="24"/>
          <w:szCs w:val="24"/>
        </w:rPr>
        <w:t xml:space="preserve"> актами субъектов Российской Федерации, в общую собственность либо в собственность одного лица, в том числе несовершеннолетнего, с согласия всех имеющих право на приватизацию данных жилых помещений совершеннолетних лиц и несовершеннолетних в возрасте от 14 до 18 лет.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Согласно ст. 11 Закона несовершеннолетние, ставшие собственниками занимаемого жилого помещения в порядке его приватизации, сохраняют право на однократную бесплатную приватизацию жилого помещения в государственном или муниципальном жилищном фонде после достижения ими совершеннолетия.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803502">
        <w:rPr>
          <w:rFonts w:ascii="Times New Roman" w:hAnsi="Times New Roman" w:cs="Times New Roman"/>
          <w:sz w:val="24"/>
          <w:szCs w:val="24"/>
        </w:rPr>
        <w:t>Разъясняя содержание названных норм Закона, Пленум Верховного Суда Российской Федерации в п. 5 постановления от 24 августа 1993 г. N 8 (в редакции постановления Пленума Верховного Суда Российской Федерации от 6 февраля 2007 г. N 6) "О некоторых вопросах применения судами Закона Российской Федерации "О приватизации жилищного фонда в Российской Федерации" указал, что за гражданами, выразившими согласие на приобретение другими</w:t>
      </w:r>
      <w:proofErr w:type="gramEnd"/>
      <w:r w:rsidRPr="00803502">
        <w:rPr>
          <w:rFonts w:ascii="Times New Roman" w:hAnsi="Times New Roman" w:cs="Times New Roman"/>
          <w:sz w:val="24"/>
          <w:szCs w:val="24"/>
        </w:rPr>
        <w:t xml:space="preserve"> проживающими с ними лицами занимаемого помещения, сохраняется право на бесплатное приобретение в собственность в порядке приватизации другого впоследствии полученного жилого помещения, поскольку в указанном случае предоставленная этим лицам возможность приватизировать бесплатно занимаемое жилое помещение только один раз не была реализована при даче согласия на приватизацию жилья другими лицами.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Приведенное положение Закона предоставляет для несовершеннолетних дополнительные имущественные и жилищные права, реализуемые после достижения ими совершеннолетия.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Право несовершеннолетних, ставших собственниками занимаемого жилого помещения в порядке его приватизации, на повторное обеспечение жильем реализуется путем приватизации другого впоследствии полученного жилого помещения из государственного и муниципального жилищного фонда.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По делу установлено, что в качестве формы реализации жилищного права З. и членами его семьи в соответствии со ст. 15 Федерального закона "О статусе военнослужащих" избрано обеспечение жилым помещением по договору социального найма.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При таких данных у жилищной комиссии воинской части оснований для уменьшения общей площади жилого помещения, предоставляемого семье административного истца, на размер доли (18,075 кв. м) приватизированного супругой З. в несовершеннолетнем возрасте жилого помещения не имелось.</w:t>
      </w:r>
    </w:p>
    <w:p w:rsidR="006D48C9" w:rsidRPr="00803502" w:rsidRDefault="006D48C9" w:rsidP="006D48C9">
      <w:pPr>
        <w:autoSpaceDE w:val="0"/>
        <w:autoSpaceDN w:val="0"/>
        <w:adjustRightInd w:val="0"/>
        <w:spacing w:before="22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803502">
        <w:rPr>
          <w:rFonts w:ascii="Times New Roman" w:hAnsi="Times New Roman" w:cs="Times New Roman"/>
          <w:sz w:val="24"/>
          <w:szCs w:val="24"/>
        </w:rPr>
        <w:t xml:space="preserve">На основании изложенного Судебная коллегия отменила решение </w:t>
      </w:r>
      <w:proofErr w:type="spellStart"/>
      <w:r w:rsidRPr="00803502">
        <w:rPr>
          <w:rFonts w:ascii="Times New Roman" w:hAnsi="Times New Roman" w:cs="Times New Roman"/>
          <w:sz w:val="24"/>
          <w:szCs w:val="24"/>
        </w:rPr>
        <w:t>Реутовского</w:t>
      </w:r>
      <w:proofErr w:type="spellEnd"/>
      <w:r w:rsidRPr="00803502">
        <w:rPr>
          <w:rFonts w:ascii="Times New Roman" w:hAnsi="Times New Roman" w:cs="Times New Roman"/>
          <w:sz w:val="24"/>
          <w:szCs w:val="24"/>
        </w:rPr>
        <w:t xml:space="preserve"> гарнизонного военного суда от 25 марта 2019 г., апелляционное определение Московского окружного военного суда от 1 августа 2019 г., кассационное определение Кассационного военного суда от 26 февраля 2020 г. и приняла по делу новое решение, согласно которому признала незаконными решения жилищной комиссии воинской части в части определения предельной нормы предоставления З. и</w:t>
      </w:r>
      <w:proofErr w:type="gramEnd"/>
      <w:r w:rsidRPr="00803502">
        <w:rPr>
          <w:rFonts w:ascii="Times New Roman" w:hAnsi="Times New Roman" w:cs="Times New Roman"/>
          <w:sz w:val="24"/>
          <w:szCs w:val="24"/>
        </w:rPr>
        <w:t xml:space="preserve"> членам его семьи общей площади жилого помещения по договору социального найма в размере 62,9 кв. м.</w:t>
      </w:r>
    </w:p>
    <w:p w:rsidR="006D48C9" w:rsidRPr="00803502" w:rsidRDefault="006D48C9" w:rsidP="006D48C9">
      <w:pPr>
        <w:autoSpaceDE w:val="0"/>
        <w:autoSpaceDN w:val="0"/>
        <w:adjustRightInd w:val="0"/>
        <w:ind w:firstLine="540"/>
        <w:outlineLvl w:val="0"/>
        <w:rPr>
          <w:rFonts w:ascii="Times New Roman" w:hAnsi="Times New Roman" w:cs="Times New Roman"/>
          <w:sz w:val="24"/>
          <w:szCs w:val="24"/>
        </w:rPr>
      </w:pPr>
    </w:p>
    <w:p w:rsidR="006D48C9" w:rsidRPr="00803502" w:rsidRDefault="006D48C9" w:rsidP="006D48C9">
      <w:pPr>
        <w:autoSpaceDE w:val="0"/>
        <w:autoSpaceDN w:val="0"/>
        <w:adjustRightInd w:val="0"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 w:rsidRPr="00803502">
        <w:rPr>
          <w:rFonts w:ascii="Times New Roman" w:hAnsi="Times New Roman" w:cs="Times New Roman"/>
          <w:sz w:val="24"/>
          <w:szCs w:val="24"/>
        </w:rPr>
        <w:t>Определение N 222-КА20-16-К10</w:t>
      </w:r>
    </w:p>
    <w:p w:rsidR="00755C3E" w:rsidRDefault="00755C3E"/>
    <w:p w:rsidR="00803502" w:rsidRPr="00A50274" w:rsidRDefault="00803502" w:rsidP="00803502">
      <w:pPr>
        <w:autoSpaceDE w:val="0"/>
        <w:autoSpaceDN w:val="0"/>
        <w:adjustRightInd w:val="0"/>
        <w:ind w:right="-285"/>
        <w:jc w:val="center"/>
        <w:rPr>
          <w:rFonts w:ascii="Times New Roman" w:hAnsi="Times New Roman" w:cs="Times New Roman"/>
          <w:b/>
          <w:bCs/>
          <w:i/>
        </w:rPr>
      </w:pPr>
      <w:r w:rsidRPr="00A50274">
        <w:rPr>
          <w:rFonts w:ascii="Times New Roman" w:hAnsi="Times New Roman" w:cs="Times New Roman"/>
          <w:b/>
          <w:bCs/>
          <w:i/>
        </w:rPr>
        <w:t>Обзор судебной практики Верховного Суда Российской Федерации № 4 (2020)</w:t>
      </w:r>
      <w:r>
        <w:rPr>
          <w:rFonts w:ascii="Times New Roman" w:hAnsi="Times New Roman" w:cs="Times New Roman"/>
          <w:b/>
          <w:bCs/>
          <w:i/>
        </w:rPr>
        <w:t>.</w:t>
      </w:r>
    </w:p>
    <w:p w:rsidR="00803502" w:rsidRPr="00A50274" w:rsidRDefault="00803502" w:rsidP="00803502">
      <w:pPr>
        <w:autoSpaceDE w:val="0"/>
        <w:autoSpaceDN w:val="0"/>
        <w:adjustRightInd w:val="0"/>
        <w:ind w:right="-285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У</w:t>
      </w:r>
      <w:r w:rsidRPr="00A50274">
        <w:rPr>
          <w:rFonts w:ascii="Times New Roman" w:hAnsi="Times New Roman" w:cs="Times New Roman"/>
          <w:b/>
          <w:i/>
        </w:rPr>
        <w:t>твержден Президиумом Верховного Суда Российской Федерации 23 декабря 2020 г.</w:t>
      </w:r>
    </w:p>
    <w:p w:rsidR="00803502" w:rsidRDefault="00803502"/>
    <w:sectPr w:rsidR="00803502" w:rsidSect="00803502">
      <w:pgSz w:w="11905" w:h="16838"/>
      <w:pgMar w:top="851" w:right="567" w:bottom="851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D48C9"/>
    <w:rsid w:val="00004EBE"/>
    <w:rsid w:val="00035AB3"/>
    <w:rsid w:val="0004799F"/>
    <w:rsid w:val="000A1F02"/>
    <w:rsid w:val="000C7059"/>
    <w:rsid w:val="000F188A"/>
    <w:rsid w:val="00123C27"/>
    <w:rsid w:val="001240E6"/>
    <w:rsid w:val="00156C35"/>
    <w:rsid w:val="001609FC"/>
    <w:rsid w:val="0020632B"/>
    <w:rsid w:val="00207782"/>
    <w:rsid w:val="00272B0A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6D48C9"/>
    <w:rsid w:val="00755C3E"/>
    <w:rsid w:val="007A1DB1"/>
    <w:rsid w:val="007F4029"/>
    <w:rsid w:val="00803502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2020-12-29T09:38:00Z</dcterms:created>
  <dcterms:modified xsi:type="dcterms:W3CDTF">2020-12-29T10:02:00Z</dcterms:modified>
</cp:coreProperties>
</file>