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39E" w:rsidRPr="000F6D54" w:rsidRDefault="00C3339E" w:rsidP="00C3339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b/>
          <w:i/>
          <w:color w:val="000000"/>
          <w:sz w:val="26"/>
          <w:szCs w:val="26"/>
          <w:lang w:val="ru-RU" w:eastAsia="ru-RU" w:bidi="ru-RU"/>
        </w:rPr>
        <w:t xml:space="preserve">Пропуск срока для подачи рапорта о выплате денежных средств, дополняющих накопления для жилищного обеспечения, не является основанием для отказа в их выплате </w:t>
      </w:r>
    </w:p>
    <w:p w:rsidR="00C3339E" w:rsidRPr="000F6D54" w:rsidRDefault="00C3339E" w:rsidP="00C3339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Капитан С. оспорил в гарнизонный военный суд отказ командира воинской части в приёме, организации работы по проверке документов и принятии решения о выплате ему денежных средств, дополняющих накопления для жилищного обеспечения, просил признать его устное заявление в феврале 2014 года о выплате указанных дополнений надлежащим обращением, а также обязать командира воинской  части  повторно рассмотреть вопрос об их выплате.</w:t>
      </w:r>
      <w:proofErr w:type="gramEnd"/>
    </w:p>
    <w:p w:rsidR="00C3339E" w:rsidRPr="000F6D54" w:rsidRDefault="00C3339E" w:rsidP="00C3339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Решением Новороссийского гарнизонного военного суда признаны незаконными действия командира воинской части, связанные с отказом в выплате С. дополнений.</w:t>
      </w:r>
    </w:p>
    <w:p w:rsidR="00C3339E" w:rsidRPr="000F6D54" w:rsidRDefault="00C3339E" w:rsidP="00C3339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апелляционной жалобе представитель командира воинской части просил решение суда отменить и принять новое – об отказе в удовлетворении заявления, полагая, что у командования не имелось оснований для принятия решения о выплате С. дополнений, поскольку за их выплатой он обратился в ноябре 2014 года – после исключения из списков личного состава воинской части.</w:t>
      </w:r>
      <w:proofErr w:type="gramEnd"/>
    </w:p>
    <w:p w:rsidR="00C3339E" w:rsidRPr="000F6D54" w:rsidRDefault="00C3339E" w:rsidP="00C3339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Окружной военный суд признал решение суда первой инстанции законным и обоснованным по следующим основаниям.</w:t>
      </w:r>
    </w:p>
    <w:p w:rsidR="00C3339E" w:rsidRPr="000F6D54" w:rsidRDefault="00C3339E" w:rsidP="00C3339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Установлено, что приказом руководителя Службы ФСБ России от 9 декабря 2013 г. С., являющийся участником НИС, общая продолжительность военной службы которого составляет более 10 лет, уволен с военной службы в связи с организационно-штатными мероприятиями, а приказом командира воинской части  от 24 февраля 2014 г.  исключён из списков личного состава воинской части. </w:t>
      </w:r>
      <w:proofErr w:type="gramEnd"/>
    </w:p>
    <w:p w:rsidR="00C3339E" w:rsidRPr="000F6D54" w:rsidRDefault="00C3339E" w:rsidP="00C3339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10 ноября 2014 г. С. обратился к командиру воинской части с рапортом о выплате дополнений, однако в этом ему было отказано на том основании, что данное обращение имело место уже после исключения из списков личного состава воинской части.</w:t>
      </w:r>
    </w:p>
    <w:p w:rsidR="00C3339E" w:rsidRPr="000F6D54" w:rsidRDefault="00C3339E" w:rsidP="00C3339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  <w:lang w:val="ru-RU" w:eastAsia="ru-RU" w:bidi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В силу п. 1 ч. 2 и ч. 3 ст. 4 Федерального закона «О накопительно-ипотечной системе жилищного обеспечения военнослужащих» право на выплату денежных средств, дополняющих накопления для жилищного обеспечения, учтённые на именном накопительном счёте участника НИС, возникает, в частности, при увольнении с военной службы в связи с организационно-штатными мероприятиями военнослужащего – участника НИС, общая продолжительность военной службы которого составляет от 10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до 20 лет. Выплата этих денежных средств производится федеральными органами исполнительной власти, в которых федеральным законом предусмотрена военная служба, в трёхмесячный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срок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начиная со дня поступления в соответствующий федеральный орган заявления в письменной форме от участника НИС. </w:t>
      </w:r>
      <w:bookmarkStart w:id="0" w:name="_GoBack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Постановлением Правительства Российской Федерации от 17 ноября 2005 г. № 686</w:t>
      </w:r>
      <w:bookmarkEnd w:id="0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, изданным во исполнение названного Федерального закона, утверждены Правила выплаты участникам накопительно-ипотечной системы жилищного обеспечения военнослужащих или членам их семей денежных средств, дополняющих накопления для жилищного обеспечения. Целью Правил является конкретизация норм названного федерального закона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lastRenderedPageBreak/>
        <w:t>для выполнения необходимых административных процедур по перечислению дополнений.</w:t>
      </w:r>
    </w:p>
    <w:p w:rsidR="00C3339E" w:rsidRPr="000F6D54" w:rsidRDefault="00C3339E" w:rsidP="00C3339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В соответствии с </w:t>
      </w:r>
      <w:proofErr w:type="spell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пп</w:t>
      </w:r>
      <w:proofErr w:type="spell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. 7, 9  Правил участник НИС подаёт рапорт о выплате дополнений до его исключения из списков личного состава воинской части. При этом основаниями для отказа в выплате дополнительных денежных средств являются: непредставление или представление не в полном объёме установленных для выплаты дополнений документов; недостоверность сведений, содержащихся в представленных документах.</w:t>
      </w:r>
    </w:p>
    <w:p w:rsidR="00C3339E" w:rsidRPr="000F6D54" w:rsidRDefault="00C3339E" w:rsidP="00C3339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Такого основания для отказа в выплате дополнительных средств, как пропуск срока для подачи заявления (рапорта), Правила не содержат, </w:t>
      </w: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равно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как не содержит подобного основания и Порядок организации в органах федеральной службы безопасности работы по выплате участникам накопительно-ипотечной системы жилищного обеспечения военнослужащих или членам их семей денежных средств, дополняющих накопления для жилищного обеспечения, утверждённый приказом ФСБ России от 18 декабря 2007 г. № 726.</w:t>
      </w:r>
    </w:p>
    <w:p w:rsidR="00C3339E" w:rsidRPr="000F6D54" w:rsidRDefault="00C3339E" w:rsidP="00C3339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proofErr w:type="gramStart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При таких обстоятельствах суд пришёл к правильному выводу о том, что </w:t>
      </w:r>
      <w:r w:rsidRPr="000F6D54">
        <w:rPr>
          <w:rFonts w:ascii="Times New Roman" w:hAnsi="Times New Roman"/>
          <w:bCs/>
          <w:sz w:val="26"/>
          <w:szCs w:val="26"/>
          <w:lang w:val="ru-RU" w:eastAsia="ru-RU"/>
        </w:rPr>
        <w:t xml:space="preserve">установленный оспариваемыми нормативными положениями срок выплаты денежных средств, дополняющих накопления для жилищного обеспечения, с момента поступления соответствующего заявления (рапорта) участника НИС, к которому прилагаются соответствующие документы, требуется, в частности, для выполнения необходимых административных процедур по перечислению денежных средств, а </w:t>
      </w:r>
      <w:r w:rsidRPr="000F6D54">
        <w:rPr>
          <w:rFonts w:ascii="Times New Roman" w:hAnsi="Times New Roman"/>
          <w:b/>
          <w:bCs/>
          <w:sz w:val="26"/>
          <w:szCs w:val="26"/>
          <w:lang w:val="ru-RU" w:eastAsia="ru-RU"/>
        </w:rPr>
        <w:t xml:space="preserve"> </w:t>
      </w: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несоблюдение порядка обращения за выплатой дополнений не свидетельствует об утрате</w:t>
      </w:r>
      <w:proofErr w:type="gramEnd"/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 xml:space="preserve"> участником НИС права на получение указанных денежных средств.</w:t>
      </w:r>
    </w:p>
    <w:p w:rsidR="00C3339E" w:rsidRPr="000F6D54" w:rsidRDefault="00C3339E" w:rsidP="00C3339E">
      <w:pPr>
        <w:pStyle w:val="11"/>
        <w:shd w:val="clear" w:color="auto" w:fill="auto"/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  <w:lang w:val="ru-RU"/>
        </w:rPr>
      </w:pPr>
      <w:r w:rsidRPr="000F6D54">
        <w:rPr>
          <w:rFonts w:ascii="Times New Roman" w:hAnsi="Times New Roman"/>
          <w:color w:val="000000"/>
          <w:sz w:val="26"/>
          <w:szCs w:val="26"/>
          <w:lang w:val="ru-RU" w:eastAsia="ru-RU" w:bidi="ru-RU"/>
        </w:rPr>
        <w:t>Данный вывод также следует из п. 10 Правил, предусматривающего возможность повторного обращения участника НИС с рапортом о выплате дополнений после устранения причин, послуживших основанием для отказа в их выплате.</w:t>
      </w:r>
    </w:p>
    <w:p w:rsidR="00C3339E" w:rsidRDefault="00C3339E" w:rsidP="00C3339E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color w:val="000000"/>
          <w:lang w:val="ru-RU" w:eastAsia="ru-RU" w:bidi="ru-RU"/>
        </w:rPr>
      </w:pPr>
    </w:p>
    <w:p w:rsidR="00C3339E" w:rsidRPr="00823229" w:rsidRDefault="00C3339E" w:rsidP="00C3339E">
      <w:pPr>
        <w:pStyle w:val="24"/>
        <w:shd w:val="clear" w:color="auto" w:fill="auto"/>
        <w:spacing w:before="0" w:after="0" w:line="240" w:lineRule="auto"/>
        <w:ind w:left="23" w:right="23" w:firstLine="720"/>
        <w:rPr>
          <w:rFonts w:ascii="Times New Roman" w:hAnsi="Times New Roman"/>
          <w:b w:val="0"/>
          <w:lang w:val="ru-RU"/>
        </w:rPr>
      </w:pPr>
      <w:r w:rsidRPr="00823229">
        <w:rPr>
          <w:rFonts w:ascii="Times New Roman" w:hAnsi="Times New Roman"/>
          <w:b w:val="0"/>
          <w:color w:val="000000"/>
          <w:lang w:val="ru-RU" w:eastAsia="ru-RU" w:bidi="ru-RU"/>
        </w:rPr>
        <w:t xml:space="preserve">Обзор практики рассмотрения военными судами дел о реализации прав на участие в накопительно-ипотечной системе жилищного обеспечения военнослужащих  и членов их семей, утверждён </w:t>
      </w:r>
      <w:r w:rsidRPr="00823229">
        <w:rPr>
          <w:rFonts w:ascii="Times New Roman" w:hAnsi="Times New Roman"/>
          <w:b w:val="0"/>
          <w:lang w:val="ru-RU"/>
        </w:rPr>
        <w:t>Президиумом Верховного Суда Российской Федерации, 20 января 2016 г.</w:t>
      </w:r>
    </w:p>
    <w:p w:rsidR="00A30571" w:rsidRPr="00C3339E" w:rsidRDefault="00A30571">
      <w:pPr>
        <w:rPr>
          <w:lang w:val="ru-RU"/>
        </w:rPr>
      </w:pPr>
    </w:p>
    <w:sectPr w:rsidR="00A30571" w:rsidRPr="00C3339E" w:rsidSect="00A305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3339E"/>
    <w:rsid w:val="002D637B"/>
    <w:rsid w:val="00645ACD"/>
    <w:rsid w:val="009F775C"/>
    <w:rsid w:val="00A30571"/>
    <w:rsid w:val="00AA173E"/>
    <w:rsid w:val="00AB29AB"/>
    <w:rsid w:val="00C3339E"/>
    <w:rsid w:val="00E5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6006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60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6006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006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6006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6006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6006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6006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6006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6006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60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56006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56006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E56006"/>
    <w:rPr>
      <w:rFonts w:cstheme="maj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56006"/>
    <w:rPr>
      <w:rFonts w:cstheme="maj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E56006"/>
    <w:rPr>
      <w:rFonts w:cstheme="majorBidi"/>
      <w:b/>
      <w:bCs/>
    </w:rPr>
  </w:style>
  <w:style w:type="character" w:customStyle="1" w:styleId="70">
    <w:name w:val="Заголовок 7 Знак"/>
    <w:basedOn w:val="a0"/>
    <w:link w:val="7"/>
    <w:uiPriority w:val="9"/>
    <w:semiHidden/>
    <w:rsid w:val="00E56006"/>
    <w:rPr>
      <w:rFonts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E56006"/>
    <w:rPr>
      <w:rFonts w:cstheme="majorBidi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E56006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E560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Название Знак"/>
    <w:basedOn w:val="a0"/>
    <w:link w:val="a3"/>
    <w:uiPriority w:val="10"/>
    <w:rsid w:val="00E560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56006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E56006"/>
    <w:rPr>
      <w:rFonts w:asciiTheme="majorHAnsi" w:eastAsiaTheme="majorEastAsia" w:hAnsiTheme="majorHAnsi" w:cstheme="majorBidi"/>
      <w:sz w:val="24"/>
      <w:szCs w:val="24"/>
    </w:rPr>
  </w:style>
  <w:style w:type="character" w:styleId="a7">
    <w:name w:val="Strong"/>
    <w:basedOn w:val="a0"/>
    <w:uiPriority w:val="22"/>
    <w:qFormat/>
    <w:rsid w:val="00E56006"/>
    <w:rPr>
      <w:b/>
      <w:bCs/>
    </w:rPr>
  </w:style>
  <w:style w:type="character" w:styleId="a8">
    <w:name w:val="Emphasis"/>
    <w:basedOn w:val="a0"/>
    <w:uiPriority w:val="20"/>
    <w:qFormat/>
    <w:rsid w:val="00E56006"/>
    <w:rPr>
      <w:rFonts w:asciiTheme="minorHAnsi" w:hAnsiTheme="minorHAnsi"/>
      <w:b/>
      <w:i/>
      <w:iCs/>
    </w:rPr>
  </w:style>
  <w:style w:type="paragraph" w:styleId="a9">
    <w:name w:val="No Spacing"/>
    <w:basedOn w:val="a"/>
    <w:uiPriority w:val="1"/>
    <w:qFormat/>
    <w:rsid w:val="00E56006"/>
    <w:rPr>
      <w:szCs w:val="32"/>
    </w:rPr>
  </w:style>
  <w:style w:type="paragraph" w:styleId="aa">
    <w:name w:val="List Paragraph"/>
    <w:basedOn w:val="a"/>
    <w:uiPriority w:val="34"/>
    <w:qFormat/>
    <w:rsid w:val="00E56006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56006"/>
    <w:rPr>
      <w:i/>
    </w:rPr>
  </w:style>
  <w:style w:type="character" w:customStyle="1" w:styleId="22">
    <w:name w:val="Цитата 2 Знак"/>
    <w:basedOn w:val="a0"/>
    <w:link w:val="21"/>
    <w:uiPriority w:val="29"/>
    <w:rsid w:val="00E56006"/>
    <w:rPr>
      <w:i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E56006"/>
    <w:pPr>
      <w:ind w:left="720" w:right="720"/>
    </w:pPr>
    <w:rPr>
      <w:b/>
      <w:i/>
      <w:szCs w:val="22"/>
    </w:rPr>
  </w:style>
  <w:style w:type="character" w:customStyle="1" w:styleId="ac">
    <w:name w:val="Выделенная цитата Знак"/>
    <w:basedOn w:val="a0"/>
    <w:link w:val="ab"/>
    <w:uiPriority w:val="30"/>
    <w:rsid w:val="00E56006"/>
    <w:rPr>
      <w:b/>
      <w:i/>
      <w:sz w:val="24"/>
    </w:rPr>
  </w:style>
  <w:style w:type="character" w:styleId="ad">
    <w:name w:val="Subtle Emphasis"/>
    <w:uiPriority w:val="19"/>
    <w:qFormat/>
    <w:rsid w:val="00E56006"/>
    <w:rPr>
      <w:i/>
      <w:color w:val="5A5A5A" w:themeColor="text1" w:themeTint="A5"/>
    </w:rPr>
  </w:style>
  <w:style w:type="character" w:styleId="ae">
    <w:name w:val="Intense Emphasis"/>
    <w:basedOn w:val="a0"/>
    <w:uiPriority w:val="21"/>
    <w:qFormat/>
    <w:rsid w:val="00E56006"/>
    <w:rPr>
      <w:b/>
      <w:i/>
      <w:sz w:val="24"/>
      <w:szCs w:val="24"/>
      <w:u w:val="single"/>
    </w:rPr>
  </w:style>
  <w:style w:type="character" w:styleId="af">
    <w:name w:val="Subtle Reference"/>
    <w:basedOn w:val="a0"/>
    <w:uiPriority w:val="31"/>
    <w:qFormat/>
    <w:rsid w:val="00E56006"/>
    <w:rPr>
      <w:sz w:val="24"/>
      <w:szCs w:val="24"/>
      <w:u w:val="single"/>
    </w:rPr>
  </w:style>
  <w:style w:type="character" w:styleId="af0">
    <w:name w:val="Intense Reference"/>
    <w:basedOn w:val="a0"/>
    <w:uiPriority w:val="32"/>
    <w:qFormat/>
    <w:rsid w:val="00E56006"/>
    <w:rPr>
      <w:b/>
      <w:sz w:val="24"/>
      <w:u w:val="single"/>
    </w:rPr>
  </w:style>
  <w:style w:type="character" w:styleId="af1">
    <w:name w:val="Book Title"/>
    <w:basedOn w:val="a0"/>
    <w:uiPriority w:val="33"/>
    <w:qFormat/>
    <w:rsid w:val="00E56006"/>
    <w:rPr>
      <w:rFonts w:asciiTheme="majorHAnsi" w:eastAsiaTheme="majorEastAsia" w:hAnsiTheme="majorHAnsi"/>
      <w:b/>
      <w:i/>
      <w:sz w:val="24"/>
      <w:szCs w:val="24"/>
    </w:rPr>
  </w:style>
  <w:style w:type="paragraph" w:styleId="af2">
    <w:name w:val="TOC Heading"/>
    <w:basedOn w:val="1"/>
    <w:next w:val="a"/>
    <w:uiPriority w:val="39"/>
    <w:semiHidden/>
    <w:unhideWhenUsed/>
    <w:qFormat/>
    <w:rsid w:val="00E56006"/>
    <w:pPr>
      <w:outlineLvl w:val="9"/>
    </w:pPr>
  </w:style>
  <w:style w:type="character" w:customStyle="1" w:styleId="af3">
    <w:name w:val="Основной текст_"/>
    <w:basedOn w:val="a0"/>
    <w:link w:val="11"/>
    <w:rsid w:val="00C3339E"/>
    <w:rPr>
      <w:rFonts w:eastAsia="Times New Roman"/>
      <w:spacing w:val="7"/>
      <w:shd w:val="clear" w:color="auto" w:fill="FFFFFF"/>
    </w:rPr>
  </w:style>
  <w:style w:type="paragraph" w:customStyle="1" w:styleId="11">
    <w:name w:val="Основной текст1"/>
    <w:basedOn w:val="a"/>
    <w:link w:val="af3"/>
    <w:rsid w:val="00C3339E"/>
    <w:pPr>
      <w:widowControl w:val="0"/>
      <w:shd w:val="clear" w:color="auto" w:fill="FFFFFF"/>
      <w:spacing w:after="120" w:line="0" w:lineRule="atLeast"/>
    </w:pPr>
    <w:rPr>
      <w:rFonts w:eastAsia="Times New Roman"/>
      <w:spacing w:val="7"/>
      <w:sz w:val="22"/>
      <w:szCs w:val="22"/>
    </w:rPr>
  </w:style>
  <w:style w:type="character" w:customStyle="1" w:styleId="23">
    <w:name w:val="Основной текст (2)_"/>
    <w:basedOn w:val="a0"/>
    <w:link w:val="24"/>
    <w:rsid w:val="00C3339E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C3339E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eastAsia="Times New Roman"/>
      <w:b/>
      <w:bCs/>
      <w:i/>
      <w:iCs/>
      <w:spacing w:val="2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 Магомедбасир Гапурович</cp:lastModifiedBy>
  <cp:revision>3</cp:revision>
  <dcterms:created xsi:type="dcterms:W3CDTF">2016-01-22T12:23:00Z</dcterms:created>
  <dcterms:modified xsi:type="dcterms:W3CDTF">2022-11-09T13:26:00Z</dcterms:modified>
</cp:coreProperties>
</file>