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CD3" w:rsidRPr="000F6D54" w:rsidRDefault="007D2CD3" w:rsidP="007D2CD3">
      <w:pPr>
        <w:spacing w:after="0" w:line="240" w:lineRule="auto"/>
        <w:ind w:firstLine="567"/>
        <w:jc w:val="both"/>
        <w:rPr>
          <w:b/>
          <w:i/>
          <w:sz w:val="26"/>
          <w:szCs w:val="26"/>
        </w:rPr>
      </w:pPr>
      <w:r w:rsidRPr="000F6D54">
        <w:rPr>
          <w:b/>
          <w:i/>
          <w:sz w:val="26"/>
          <w:szCs w:val="26"/>
        </w:rPr>
        <w:t xml:space="preserve">Приобретение  военнослужащим жилья путём участия в </w:t>
      </w:r>
      <w:proofErr w:type="spellStart"/>
      <w:r w:rsidRPr="000F6D54">
        <w:rPr>
          <w:b/>
          <w:i/>
          <w:sz w:val="26"/>
          <w:szCs w:val="26"/>
        </w:rPr>
        <w:t>накопительно-ипотечной</w:t>
      </w:r>
      <w:proofErr w:type="spellEnd"/>
      <w:r w:rsidRPr="000F6D54">
        <w:rPr>
          <w:b/>
          <w:i/>
          <w:sz w:val="26"/>
          <w:szCs w:val="26"/>
        </w:rPr>
        <w:t xml:space="preserve"> системе  является одной из форм его жилищного обеспечения, реализуемого за счёт средств федерального бюджета 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Решением Владивостокского гарнизонного военного суда от 31 октября 2014 г., оставленным без изменения апелляционным определением Тихооке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анского флотского военного суда от 13 января 2015 г. и постановлением пре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зидиума того же суда от 10 июня 2015 г., удовлетворено заявление К., в котором он просил признать незаконным решение заместителя на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чальника Управления ФСБ России по Приморскому краю от 20 марта 2014 г. об отказе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в заключени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и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договора социального найма на распределённое заявителю жилое помещение в из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бранном месте жительства после увольнения с военной службы – г. Владиво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стоке ввиду наличия в собственности супруги жилого помещения по уста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новленным нормам в г. Дальнереченске Приморского края, приобретённого за счёт участия в НИС жилищного обеспечения военнослужащих.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кассационной жалобе представитель начальника Управления</w:t>
      </w:r>
      <w:r w:rsidRPr="000F6D54">
        <w:rPr>
          <w:rFonts w:ascii="Times New Roman" w:hAnsi="Times New Roman"/>
          <w:color w:val="000000"/>
          <w:sz w:val="26"/>
          <w:szCs w:val="26"/>
          <w:lang w:val="ru-RU"/>
        </w:rPr>
        <w:t xml:space="preserve">,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утверждая об ошибочности вывода судов о том, что право соб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ственности на жилое помещение супруги заявителя, приобретённое на сред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ства целевого жилищного займа и ипотечного кредита, распространяется только на неё одну, просила отменить судебные постановления и принять по делу новое судебное постановление.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обоснование жалобы указано, что законодательство о военной службе содержит запрет на обеспечение заявителя жильём по избранному месту жительства без сдачи жилого помещения, которое находится в собственно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сти его супруги и в котором он, вопреки выводу судов, проживает вместе с дочерью. То обстоятельство, что указанное жилое помещение заявителю не предоставлялось, не является основанием для исключения такого помещения из учёта при определении общей площади жилого помещения, предостав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ляемого ему по договору социального найма.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firstLine="54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Судебной коллегией по делам военнослужащих Верховного Суда Российской Федерации установлено, что судами при рассмотрении дела допущена ошибка в применении норм материального права, что выразилось в следующем.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Установлено, что супруга К., будучи офи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цером Службы в г. Дальнереченске Пограничного управления ФСБ России по Приморскому краю, в августе 2011 года приобрела в собственность по месту военной службы своего и заявителя трёхкомнатную квартиру общей площадью жилого помещения 71,6 кв. метра за счёт участия в НИС  жилищного обеспечения военнослужащих стоимостью 2 900 000 руб.</w:t>
      </w:r>
      <w:proofErr w:type="gramEnd"/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Из этой суммы 675 957 руб. выплачены супруге заявителя по дого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вору целевого жилищного займа, предоставленного федеральным органом исполнительной власти, в котором предусмотрена военная служба, как уча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стнику НИС, 224 043 руб. ею внесены за счёт собственных средств, а 2</w:t>
      </w:r>
      <w:r w:rsidRPr="000F6D54">
        <w:rPr>
          <w:rFonts w:ascii="Times New Roman" w:hAnsi="Times New Roman"/>
          <w:color w:val="000000"/>
          <w:sz w:val="26"/>
          <w:szCs w:val="26"/>
          <w:lang w:eastAsia="ru-RU" w:bidi="ru-RU"/>
        </w:rPr>
        <w:t> 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000000 руб. – по кредитному договору, предос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тавленному Дальневосточным коммерческим банком, с по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следующим погашением суммы кредита и процентов за пользование креди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том заёмщиком за счёт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средств целевого жилищного займа.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Согласно п. 6.10 кредитного договора заёмщик, т. е. супруга заяви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теля,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>уведомила банк о том, что в квартире имеют намерение проживать её супруг и их дочь.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августе 2013 года К. обратился в жилищную комиссию Службы в г. Дальнереченске с заявлением о признании его и дочери нуждающимися в жи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лом помещении по избранному им месту жительства в г. Владивостоке, после чего решениями жилищной комиссии от 13 августа и 25 декабря 2013 г. он был поставлен на жилищный учёт и ему распределена однокомнатная квар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тира.</w:t>
      </w:r>
      <w:proofErr w:type="gramEnd"/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Однако решением заместителя начальника Управления от 20 марта      2014 г. заявителю было отказано в заключени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и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договора социального найма на эту квартиру ввиду наличия в собственности супруги жилого помещения по установленным нормам.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Признавая названное решение незаконным, суд первой инстанции ис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ходил из того, что действующее правовое регулирование получения целевого жилищного займа и условия кредитного договора не предполагают какого-либо участия супруга военнослужащего – участника НИС  жилищного обеспечения военнослужащих как в совер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шении сделки, так и в её последующем исполнении, в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связи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 чем право на такое жильё возникает только у самого военнослужащего и не распространя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ется на других членов семьи.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Такие выводы суда основаны на неправильном применении норм мате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риального права.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суде установлено, что квартира приобретена супругой заявителя в собственность в период брака по договору купли-продажи, т. е. по воз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мездной сделке, иной режим пользования которой между ними не устанавли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вался. Передача квартиры по акту приема-передачи, регистрация права соб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ственности, оплата квартиры состоялись также в период брака.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соответствии с п. 1 ст. 256 Гражданского кодекса Российской Феде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рации (далее – ГК РФ) имущество, нажитое супругами во время брака, явля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ется их совместной собственностью, если договором между ними не уста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новлен иной режим этого имущества.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К имуществу, нажитому супругами во время брака (общему имуществу супругов), на основании п. 2 ст. 34 Семейного кодекса Российской Федера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ции (далее – СК РФ) относятся движимые и недвижимые вещи, любое другое нажитое супругами в период брака имущество независимо от того, на имя кого из супругов оно приобретено либо на имя кого или кем из супругов вне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сены денежные средства.</w:t>
      </w:r>
      <w:proofErr w:type="gramEnd"/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500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составе общего имущества в соответствии с п. 2 ст. 39 СК РФ учиты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ваются также общие долги супругов, а также право требования по обязатель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ствам, возникшим в интересах семьи, что следует из разъяснений, содержа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щихся в п. 15 постановления Пленума Верховного Суда Российской Федера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ции от 5 ноября 1998 г. № 15 «О применении судами законодательства при рассмотрении дел о расторжении брака» (в редакции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постановления Пленума Верховного Суда Российской Федерации от 6 февраля 2007 г. № 6).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sz w:val="26"/>
          <w:szCs w:val="26"/>
          <w:lang w:val="ru-RU" w:eastAsia="ru-RU" w:bidi="ru-RU"/>
        </w:rPr>
        <w:t xml:space="preserve">При таких данных приобретённая супругой заявителя в собственность  квартира, вопреки выводу суда, является их совместной собственностью. То обстоятельство, что квартира приобреталась за счёт участия супруги К. в НИС жилищного обеспечения военнослужащих, не свидетельствует об </w:t>
      </w:r>
      <w:proofErr w:type="gramStart"/>
      <w:r w:rsidRPr="000F6D54">
        <w:rPr>
          <w:rFonts w:ascii="Times New Roman" w:hAnsi="Times New Roman"/>
          <w:sz w:val="26"/>
          <w:szCs w:val="26"/>
          <w:lang w:val="ru-RU" w:eastAsia="ru-RU" w:bidi="ru-RU"/>
        </w:rPr>
        <w:t>обратном</w:t>
      </w:r>
      <w:proofErr w:type="gramEnd"/>
      <w:r w:rsidRPr="000F6D54">
        <w:rPr>
          <w:rFonts w:ascii="Times New Roman" w:hAnsi="Times New Roman"/>
          <w:sz w:val="26"/>
          <w:szCs w:val="26"/>
          <w:lang w:val="ru-RU" w:eastAsia="ru-RU" w:bidi="ru-RU"/>
        </w:rPr>
        <w:t>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>Согласно п. 1 ст. 15 Федерального закона «О статусе военнослужащих» государство гарантирует военнослужащим обес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печение их жилыми помещениями за счёт средств федерального бюджета, в том числе в форме предоставления денежных средств на приобретение или строительство жилых помещений в соответствии с Федеральным законом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го обеспечения военнослужащих».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Каких-либо ограничений для членов семьи военнослужащего в режиме и порядке пользования жилым помещением, приобретённым за счёт участия в НИС жилищного обеспечения военнослужа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 xml:space="preserve">щих, федеральные законы «О статусе военнослужащих» и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военнослужащих» не содержат.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b/>
          <w:color w:val="FF0000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sz w:val="26"/>
          <w:szCs w:val="26"/>
          <w:lang w:val="ru-RU" w:eastAsia="ru-RU" w:bidi="ru-RU"/>
        </w:rPr>
        <w:t>Следовательно, приобретение военнослужащим жилья за счёт участия в НИС является одной из форм его жилищного обеспечения, реализуемого за счёт средств федерального бюджета, и на такое помещение распространяются такие же правила, установленные п. 1 ст. 256 ГК РФ, п. 2 ст. 34, п. 2 ст. 39 СК РФ, что и в отношении имущества, нажитого супругами во время брака.</w:t>
      </w:r>
      <w:proofErr w:type="gramEnd"/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Решением Думы города Владивостока от 29 сентября 2005 г. № 94 учётная норма площади жилого помещения в г. Владивостоке установлена в размере 13 квадратных метров общей площади на одного члена семьи, из чего следует, что заявитель и члены его семьи обеспечены жилым помещением по установлен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ным нормам.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Таким образом, К. не мог быть признан нуждающимся в жилом помещении исходя из обеспеченности его жильём за счёт государства по установленным нормам. Другие основания признания заявителя нуждаю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щимся в жилом помещении, предусмотренные ст. 51 ЖК РФ, по делу не ус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тановлены.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Согласно п. 14 ст. 15 Федерального закона «О статусе военнослужа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щих» при обеспечении военнослужащих жилым помещением при перемене места жительства такими военнослужащими и совместно проживающими с ними членами их семей представляются документы о сдаче жилых помеще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ний Министерству обороны Российской Федерации (иному федеральному органу исполнительной власти, в котором федеральным законом предусмот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рена военная служба) и снятии с регистрационного учёта по прежнему месту жительства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.</w:t>
      </w:r>
    </w:p>
    <w:p w:rsidR="007D2CD3" w:rsidRPr="000F6D54" w:rsidRDefault="007D2CD3" w:rsidP="007D2CD3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Поскольку документов о сдаче жилого помещения, находящегося в собственности супруги заявителя, последним не представлено, решение за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местителя начальника Управления об отказе в заключени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и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договора соци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ального найма на распределённое К. жилое помещение является правомерным, а выводы судов об обратном ошибочными.</w:t>
      </w:r>
    </w:p>
    <w:p w:rsidR="007D2CD3" w:rsidRDefault="007D2CD3" w:rsidP="007D2CD3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color w:val="000000"/>
          <w:lang w:val="ru-RU" w:eastAsia="ru-RU" w:bidi="ru-RU"/>
        </w:rPr>
      </w:pPr>
    </w:p>
    <w:p w:rsidR="007D2CD3" w:rsidRPr="00823229" w:rsidRDefault="007D2CD3" w:rsidP="007D2CD3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lang w:val="ru-RU"/>
        </w:rPr>
      </w:pPr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Обзор практики рассмотрения военными судами дел о реализации прав на участие в </w:t>
      </w:r>
      <w:proofErr w:type="spellStart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>накопительно-ипотечной</w:t>
      </w:r>
      <w:proofErr w:type="spellEnd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 системе жилищного обеспечения военнослужащих  и членов их семей, утверждён </w:t>
      </w:r>
      <w:r w:rsidRPr="00823229">
        <w:rPr>
          <w:rFonts w:ascii="Times New Roman" w:hAnsi="Times New Roman"/>
          <w:b w:val="0"/>
          <w:lang w:val="ru-RU"/>
        </w:rPr>
        <w:t>Президиумом Верховного Суда Российской Федерации, 20 января 2016 г.</w:t>
      </w:r>
    </w:p>
    <w:p w:rsidR="00A30571" w:rsidRDefault="00A30571"/>
    <w:sectPr w:rsidR="00A30571" w:rsidSect="00A30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7D2CD3"/>
    <w:rsid w:val="002D637B"/>
    <w:rsid w:val="007D2CD3"/>
    <w:rsid w:val="00A30571"/>
    <w:rsid w:val="00AB29AB"/>
    <w:rsid w:val="00E56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2CD3"/>
    <w:rPr>
      <w:rFonts w:ascii="Times New Roman" w:eastAsia="Calibri" w:hAnsi="Times New Roman"/>
      <w:sz w:val="28"/>
      <w:szCs w:val="28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 w:bidi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lang w:val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 w:line="240" w:lineRule="auto"/>
      <w:outlineLvl w:val="3"/>
    </w:pPr>
    <w:rPr>
      <w:rFonts w:asciiTheme="minorHAnsi" w:eastAsiaTheme="minorHAnsi" w:hAnsiTheme="minorHAnsi" w:cstheme="majorBidi"/>
      <w:b/>
      <w:bCs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 w:line="240" w:lineRule="auto"/>
      <w:outlineLvl w:val="4"/>
    </w:pPr>
    <w:rPr>
      <w:rFonts w:asciiTheme="minorHAnsi" w:eastAsiaTheme="minorHAnsi" w:hAnsiTheme="minorHAnsi" w:cstheme="majorBidi"/>
      <w:b/>
      <w:bCs/>
      <w:i/>
      <w:iCs/>
      <w:sz w:val="26"/>
      <w:szCs w:val="26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 w:line="240" w:lineRule="auto"/>
      <w:outlineLvl w:val="5"/>
    </w:pPr>
    <w:rPr>
      <w:rFonts w:asciiTheme="minorHAnsi" w:eastAsiaTheme="minorHAnsi" w:hAnsiTheme="minorHAnsi" w:cstheme="majorBidi"/>
      <w:b/>
      <w:bCs/>
      <w:sz w:val="22"/>
      <w:szCs w:val="22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 w:line="240" w:lineRule="auto"/>
      <w:outlineLvl w:val="6"/>
    </w:pPr>
    <w:rPr>
      <w:rFonts w:asciiTheme="minorHAnsi" w:eastAsiaTheme="minorHAnsi" w:hAnsiTheme="minorHAnsi" w:cstheme="majorBidi"/>
      <w:sz w:val="24"/>
      <w:szCs w:val="24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 w:line="240" w:lineRule="auto"/>
      <w:outlineLvl w:val="7"/>
    </w:pPr>
    <w:rPr>
      <w:rFonts w:asciiTheme="minorHAnsi" w:eastAsiaTheme="minorHAnsi" w:hAnsiTheme="minorHAnsi" w:cstheme="majorBidi"/>
      <w:i/>
      <w:iCs/>
      <w:sz w:val="24"/>
      <w:szCs w:val="24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 w:line="240" w:lineRule="auto"/>
      <w:outlineLvl w:val="8"/>
    </w:pPr>
    <w:rPr>
      <w:rFonts w:asciiTheme="majorHAnsi" w:eastAsiaTheme="majorEastAsia" w:hAnsiTheme="majorHAnsi" w:cstheme="majorBidi"/>
      <w:sz w:val="22"/>
      <w:szCs w:val="22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val="en-US" w:bidi="en-US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 w:line="240" w:lineRule="auto"/>
      <w:jc w:val="center"/>
      <w:outlineLvl w:val="1"/>
    </w:pPr>
    <w:rPr>
      <w:rFonts w:asciiTheme="majorHAnsi" w:eastAsiaTheme="majorEastAsia" w:hAnsiTheme="majorHAnsi" w:cstheme="majorBidi"/>
      <w:sz w:val="24"/>
      <w:szCs w:val="24"/>
      <w:lang w:val="en-US" w:bidi="en-US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pPr>
      <w:spacing w:after="0" w:line="240" w:lineRule="auto"/>
    </w:pPr>
    <w:rPr>
      <w:rFonts w:asciiTheme="minorHAnsi" w:eastAsiaTheme="minorHAnsi" w:hAnsiTheme="minorHAnsi"/>
      <w:sz w:val="24"/>
      <w:szCs w:val="32"/>
      <w:lang w:val="en-US" w:bidi="en-US"/>
    </w:rPr>
  </w:style>
  <w:style w:type="paragraph" w:styleId="aa">
    <w:name w:val="List Paragraph"/>
    <w:basedOn w:val="a"/>
    <w:uiPriority w:val="34"/>
    <w:qFormat/>
    <w:rsid w:val="00E56006"/>
    <w:pPr>
      <w:spacing w:after="0" w:line="240" w:lineRule="auto"/>
      <w:ind w:left="720"/>
      <w:contextualSpacing/>
    </w:pPr>
    <w:rPr>
      <w:rFonts w:asciiTheme="minorHAnsi" w:eastAsiaTheme="minorHAnsi" w:hAnsiTheme="minorHAnsi"/>
      <w:sz w:val="24"/>
      <w:szCs w:val="24"/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E56006"/>
    <w:pPr>
      <w:spacing w:after="0" w:line="240" w:lineRule="auto"/>
    </w:pPr>
    <w:rPr>
      <w:rFonts w:asciiTheme="minorHAnsi" w:eastAsiaTheme="minorHAnsi" w:hAnsiTheme="minorHAnsi"/>
      <w:i/>
      <w:sz w:val="24"/>
      <w:szCs w:val="24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spacing w:after="0" w:line="240" w:lineRule="auto"/>
      <w:ind w:left="720" w:right="720"/>
    </w:pPr>
    <w:rPr>
      <w:rFonts w:asciiTheme="minorHAnsi" w:eastAsiaTheme="minorHAnsi" w:hAnsiTheme="minorHAnsi"/>
      <w:b/>
      <w:i/>
      <w:sz w:val="24"/>
      <w:szCs w:val="22"/>
      <w:lang w:val="en-US" w:bidi="en-US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  <w:style w:type="character" w:customStyle="1" w:styleId="af3">
    <w:name w:val="Основной текст_"/>
    <w:basedOn w:val="a0"/>
    <w:link w:val="11"/>
    <w:rsid w:val="007D2CD3"/>
    <w:rPr>
      <w:rFonts w:eastAsia="Times New Roman"/>
      <w:spacing w:val="7"/>
      <w:shd w:val="clear" w:color="auto" w:fill="FFFFFF"/>
    </w:rPr>
  </w:style>
  <w:style w:type="paragraph" w:customStyle="1" w:styleId="11">
    <w:name w:val="Основной текст1"/>
    <w:basedOn w:val="a"/>
    <w:link w:val="af3"/>
    <w:rsid w:val="007D2CD3"/>
    <w:pPr>
      <w:widowControl w:val="0"/>
      <w:shd w:val="clear" w:color="auto" w:fill="FFFFFF"/>
      <w:spacing w:after="120" w:line="0" w:lineRule="atLeast"/>
    </w:pPr>
    <w:rPr>
      <w:rFonts w:asciiTheme="minorHAnsi" w:eastAsia="Times New Roman" w:hAnsiTheme="minorHAnsi"/>
      <w:spacing w:val="7"/>
      <w:sz w:val="22"/>
      <w:szCs w:val="22"/>
      <w:lang w:val="en-US" w:bidi="en-US"/>
    </w:rPr>
  </w:style>
  <w:style w:type="character" w:customStyle="1" w:styleId="23">
    <w:name w:val="Основной текст (2)_"/>
    <w:basedOn w:val="a0"/>
    <w:link w:val="24"/>
    <w:rsid w:val="007D2CD3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7D2CD3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/>
      <w:b/>
      <w:bCs/>
      <w:i/>
      <w:iCs/>
      <w:spacing w:val="2"/>
      <w:sz w:val="26"/>
      <w:szCs w:val="26"/>
      <w:lang w:val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1294</Words>
  <Characters>7378</Characters>
  <Application>Microsoft Office Word</Application>
  <DocSecurity>0</DocSecurity>
  <Lines>61</Lines>
  <Paragraphs>17</Paragraphs>
  <ScaleCrop>false</ScaleCrop>
  <Company>Microsoft</Company>
  <LinksUpToDate>false</LinksUpToDate>
  <CharactersWithSpaces>8655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2016-01-22T08:21:00Z</dcterms:created>
  <dcterms:modified xsi:type="dcterms:W3CDTF">2016-01-22T08:22:00Z</dcterms:modified>
</cp:coreProperties>
</file>