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96E" w:rsidRPr="0045496E" w:rsidRDefault="0045496E" w:rsidP="0045496E">
      <w:pPr>
        <w:pStyle w:val="1"/>
        <w:ind w:right="60"/>
        <w:jc w:val="center"/>
        <w:rPr>
          <w:rFonts w:ascii="Tahoma" w:hAnsi="Tahoma" w:cs="Tahoma"/>
          <w:b/>
          <w:iCs/>
          <w:sz w:val="24"/>
        </w:rPr>
      </w:pPr>
      <w:r w:rsidRPr="0045496E">
        <w:rPr>
          <w:rFonts w:ascii="Tahoma" w:hAnsi="Tahoma" w:cs="Tahoma"/>
          <w:b/>
          <w:iCs/>
          <w:sz w:val="24"/>
        </w:rPr>
        <w:t xml:space="preserve">При расчёте размера жилищной субсидии учёту подлежит </w:t>
      </w:r>
    </w:p>
    <w:p w:rsidR="0045496E" w:rsidRPr="0045496E" w:rsidRDefault="0045496E" w:rsidP="0045496E">
      <w:pPr>
        <w:pStyle w:val="1"/>
        <w:ind w:right="60"/>
        <w:jc w:val="center"/>
        <w:rPr>
          <w:rFonts w:ascii="Tahoma" w:hAnsi="Tahoma" w:cs="Tahoma"/>
          <w:b/>
          <w:iCs/>
          <w:sz w:val="24"/>
        </w:rPr>
      </w:pPr>
      <w:proofErr w:type="gramStart"/>
      <w:r w:rsidRPr="0045496E">
        <w:rPr>
          <w:rFonts w:ascii="Tahoma" w:hAnsi="Tahoma" w:cs="Tahoma"/>
          <w:b/>
          <w:iCs/>
          <w:sz w:val="24"/>
        </w:rPr>
        <w:t>занимаемая</w:t>
      </w:r>
      <w:proofErr w:type="gramEnd"/>
      <w:r w:rsidRPr="0045496E">
        <w:rPr>
          <w:rFonts w:ascii="Tahoma" w:hAnsi="Tahoma" w:cs="Tahoma"/>
          <w:b/>
          <w:iCs/>
          <w:sz w:val="24"/>
        </w:rPr>
        <w:t xml:space="preserve"> военнослужащим и (или) членами его семьи </w:t>
      </w:r>
    </w:p>
    <w:p w:rsidR="0045496E" w:rsidRPr="0045496E" w:rsidRDefault="0045496E" w:rsidP="0045496E">
      <w:pPr>
        <w:pStyle w:val="1"/>
        <w:ind w:right="60"/>
        <w:jc w:val="center"/>
        <w:rPr>
          <w:rFonts w:ascii="Tahoma" w:hAnsi="Tahoma" w:cs="Tahoma"/>
          <w:b/>
          <w:iCs/>
          <w:sz w:val="24"/>
        </w:rPr>
      </w:pPr>
      <w:r w:rsidRPr="0045496E">
        <w:rPr>
          <w:rFonts w:ascii="Tahoma" w:hAnsi="Tahoma" w:cs="Tahoma"/>
          <w:b/>
          <w:iCs/>
          <w:sz w:val="24"/>
        </w:rPr>
        <w:t>по договору социального найма общая площадь жилого помещения вне зависимости от того, кто является её нанимат</w:t>
      </w:r>
      <w:r w:rsidRPr="0045496E">
        <w:rPr>
          <w:rFonts w:ascii="Tahoma" w:hAnsi="Tahoma" w:cs="Tahoma"/>
          <w:b/>
          <w:iCs/>
          <w:sz w:val="24"/>
        </w:rPr>
        <w:t>е</w:t>
      </w:r>
      <w:r w:rsidRPr="0045496E">
        <w:rPr>
          <w:rFonts w:ascii="Tahoma" w:hAnsi="Tahoma" w:cs="Tahoma"/>
          <w:b/>
          <w:iCs/>
          <w:sz w:val="24"/>
        </w:rPr>
        <w:t xml:space="preserve">лем, и в отношении которой не дано обязательство </w:t>
      </w:r>
      <w:proofErr w:type="gramStart"/>
      <w:r w:rsidRPr="0045496E">
        <w:rPr>
          <w:rFonts w:ascii="Tahoma" w:hAnsi="Tahoma" w:cs="Tahoma"/>
          <w:b/>
          <w:iCs/>
          <w:sz w:val="24"/>
        </w:rPr>
        <w:t>о</w:t>
      </w:r>
      <w:proofErr w:type="gramEnd"/>
      <w:r w:rsidRPr="0045496E">
        <w:rPr>
          <w:rFonts w:ascii="Tahoma" w:hAnsi="Tahoma" w:cs="Tahoma"/>
          <w:b/>
          <w:iCs/>
          <w:sz w:val="24"/>
        </w:rPr>
        <w:t xml:space="preserve"> </w:t>
      </w:r>
      <w:proofErr w:type="gramStart"/>
      <w:r w:rsidRPr="0045496E">
        <w:rPr>
          <w:rFonts w:ascii="Tahoma" w:hAnsi="Tahoma" w:cs="Tahoma"/>
          <w:b/>
          <w:iCs/>
          <w:sz w:val="24"/>
        </w:rPr>
        <w:t>её</w:t>
      </w:r>
      <w:proofErr w:type="gramEnd"/>
      <w:r w:rsidRPr="0045496E">
        <w:rPr>
          <w:rFonts w:ascii="Tahoma" w:hAnsi="Tahoma" w:cs="Tahoma"/>
          <w:b/>
          <w:iCs/>
          <w:sz w:val="24"/>
        </w:rPr>
        <w:t xml:space="preserve"> </w:t>
      </w:r>
    </w:p>
    <w:p w:rsidR="0045496E" w:rsidRPr="0045496E" w:rsidRDefault="0045496E" w:rsidP="0045496E">
      <w:pPr>
        <w:pStyle w:val="1"/>
        <w:ind w:right="60"/>
        <w:jc w:val="center"/>
        <w:rPr>
          <w:rFonts w:ascii="Tahoma" w:hAnsi="Tahoma" w:cs="Tahoma"/>
          <w:b/>
          <w:iCs/>
          <w:sz w:val="24"/>
        </w:rPr>
      </w:pPr>
      <w:proofErr w:type="gramStart"/>
      <w:r w:rsidRPr="0045496E">
        <w:rPr>
          <w:rFonts w:ascii="Tahoma" w:hAnsi="Tahoma" w:cs="Tahoma"/>
          <w:b/>
          <w:iCs/>
          <w:sz w:val="24"/>
        </w:rPr>
        <w:t>освобождении</w:t>
      </w:r>
      <w:proofErr w:type="gramEnd"/>
      <w:r w:rsidRPr="0045496E">
        <w:rPr>
          <w:rFonts w:ascii="Tahoma" w:hAnsi="Tahoma" w:cs="Tahoma"/>
          <w:b/>
          <w:iCs/>
          <w:sz w:val="24"/>
        </w:rPr>
        <w:t xml:space="preserve">  </w:t>
      </w:r>
    </w:p>
    <w:p w:rsidR="0045496E" w:rsidRDefault="0045496E" w:rsidP="0045496E">
      <w:pPr>
        <w:pStyle w:val="Style2"/>
        <w:widowControl/>
        <w:ind w:firstLine="709"/>
        <w:rPr>
          <w:i/>
          <w:sz w:val="28"/>
          <w:szCs w:val="28"/>
        </w:rPr>
      </w:pPr>
    </w:p>
    <w:p w:rsidR="0045496E" w:rsidRDefault="0045496E" w:rsidP="0045496E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13 октября 2015 года № 211-КГ15-13 по з</w:t>
      </w:r>
      <w:r>
        <w:rPr>
          <w:i/>
          <w:sz w:val="28"/>
          <w:szCs w:val="28"/>
        </w:rPr>
        <w:t>а</w:t>
      </w:r>
      <w:r>
        <w:rPr>
          <w:i/>
          <w:sz w:val="28"/>
          <w:szCs w:val="28"/>
        </w:rPr>
        <w:t xml:space="preserve">явлению З. (извлечение) </w:t>
      </w:r>
    </w:p>
    <w:p w:rsidR="0045496E" w:rsidRDefault="0045496E" w:rsidP="0045496E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35 гарнизонного военного суда от 18 ноября 2014 года,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тавленным без изменения апелляционным определением Тихоокеанского флотского военного суда от 27 января 2015 года, удовлетворено заявление З. в той части, в которой она просила признать незаконным сообщение начал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ника 3 отдела федерального государственного казённого учреждения «Во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точное региональное управление жилищного обеспечения» Министерства обороны Россий</w:t>
      </w:r>
      <w:r>
        <w:rPr>
          <w:sz w:val="28"/>
          <w:szCs w:val="28"/>
        </w:rPr>
        <w:softHyphen/>
        <w:t>ской Федерации (далее –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») от 26 сентября 2014</w:t>
      </w:r>
      <w:proofErr w:type="gramEnd"/>
      <w:r>
        <w:rPr>
          <w:sz w:val="28"/>
          <w:szCs w:val="28"/>
        </w:rPr>
        <w:t xml:space="preserve"> года об уменьшении общей площади жилого помещения для расчёта жилищной субсидии на 8,88 кв. м общей площади жилого помещ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ния, занимаемого ею и её дочерью по договору социального найма в кварт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ре, нанимателем которой является мать заявителя. На начальника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 судом возложена обязанность по принятию З. на учёт нуждающихся в жилом помещении без указанной доли общей пл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щади жилого помещения.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кассационной жалобе начальник 3 отдела ФГКУ «</w:t>
      </w:r>
      <w:proofErr w:type="spellStart"/>
      <w:r>
        <w:rPr>
          <w:sz w:val="28"/>
          <w:szCs w:val="28"/>
        </w:rPr>
        <w:t>Востокрегионж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льё</w:t>
      </w:r>
      <w:proofErr w:type="spellEnd"/>
      <w:r>
        <w:rPr>
          <w:sz w:val="28"/>
          <w:szCs w:val="28"/>
        </w:rPr>
        <w:t>», утверждая о необходимости учёта при расчёте размера жилищной су</w:t>
      </w:r>
      <w:r>
        <w:rPr>
          <w:sz w:val="28"/>
          <w:szCs w:val="28"/>
        </w:rPr>
        <w:t>б</w:t>
      </w:r>
      <w:r>
        <w:rPr>
          <w:sz w:val="28"/>
          <w:szCs w:val="28"/>
        </w:rPr>
        <w:t>сидии доли общей площади жилого помещения, занимаемого З. и её дочерью по договору социального найма в квартире, нанимателем которой является мать заявителя, просил судебные постановления отменить, принять по делу новое решение об отказе в удовлетворении заявления.</w:t>
      </w:r>
      <w:proofErr w:type="gramEnd"/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нашла, что судом при ра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смотрении дела допущена ошибка в применении норм материального права, что выразилось в следующем.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следует, что З., имеющая общую продолжител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ность военной службы более 20 лет, ввиду увольнения с военной службы в связи с организационно-штатными мероприятиями, обратилась к начальнику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 с заявлением об обеспечении её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лищной субсидией исходя из состава семьи из 2 человек (она и дочь).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месту военной службы З. с дочерью проживают в качестве членов семьи в квартире общей площади жилого помещения 31,1 кв. м, которая в 2007 году была предоставлена по договору социального найма матери </w:t>
      </w:r>
      <w:r>
        <w:rPr>
          <w:sz w:val="28"/>
          <w:szCs w:val="28"/>
        </w:rPr>
        <w:lastRenderedPageBreak/>
        <w:t>заяв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теля, в том числе на неё и дочь. Всего в квартире в качестве членов семьи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регистрированы 7 человек,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приходящаяся на каждого из них доля жилого помещения составляет 4,44 кв. м.        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Сообщением начальника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 от 26 сентября 2014 года заявитель была уведомлена о том, что вопрос обеспеч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ния её жилищной субсидией должен решаться с учётом 8,88 кв. м общей площади жилого помещения, то есть исходя из права З. на 33,12 кв. м общей площади жилого помещения (42 кв. м – 8,88 кв. м). </w:t>
      </w:r>
      <w:proofErr w:type="gramEnd"/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Полагая, что при расчёте жилищной субсидии не должна учитываться её и дочери доля общей площади жилого помещения в квартире, нанимат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лем которой является её мать, З. оспорила указанное сообщение в гарнизо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ный военный суд.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Удовлетворяя заявление, суд исходил из того, что заявитель и её дочь не являются нанимателями жилого помещения по договору социального найма и не имеют объективной возможности взять на себя обязательство о расторжении указанного договора либо дать письменное обязательство о п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редаче квартиры органу, предоставившему жилое помещение.    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Соглашаясь с решением, суд апелляционной инстанции дополнительно указал, что З. представила письменное обязательство о снятии с регистрац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онного учёта по месту проживания, а реальное выделение её доли в квартире, в которой она в настоящее время проживает вместе с дочерью, невозможно по объективным обстоятельствам.    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Такие выводы судов основаны на неправильном толковании закона.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Право на жилищную субсидию установлено пунктами 1, 16 статьи 15 Федерального закона от 27 мая 1998 года № 76-ФЗ «О статусе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щих», согласно которым государство гарантирует военнослужащим обесп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чение их жилыми помещениями в форме предоставления им денежных средств на приобретение или строительство жилых помещений, в том числе жилищной субсидии, в порядке и на условиях, установленных названным федеральным законом, другими федеральными законами и</w:t>
      </w:r>
      <w:proofErr w:type="gramEnd"/>
      <w:r>
        <w:rPr>
          <w:sz w:val="28"/>
          <w:szCs w:val="28"/>
        </w:rPr>
        <w:t xml:space="preserve"> иными нормати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ными правовыми актами Российской Федерации, за счёт средств федеральн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 бюджета.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порядка расчёта жилищной субсидии в силу пункта 16 статьи 15 Федерального закона «О статусе военнослужащих» возложено на Правительство Российской Федерации.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исполнение предписаний закона Правительство Российской Фед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рации постановлением от 3 февраля 2014 года № 76 утвердило Правила расчёта субсидии для приобретения или строительства жилого помещения (жилых помещений), предоставляемой военнослужащим – гражданам Росси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ской Федерации и иным лицам в соответствии с Федеральным законом «О статусе военнослужащих» (далее – Правила).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пунктам 3 и 4 Правил установленный норматив общей пл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щади жилого помещения (42 кв. м на семью из 2 человек) при расчёте разм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ра жилищной субсидии уменьшается на общую площадь жилых помещений, занимаемых военнослужащим и (или) членами его семьи по </w:t>
      </w:r>
      <w:r>
        <w:rPr>
          <w:sz w:val="28"/>
          <w:szCs w:val="28"/>
        </w:rPr>
        <w:lastRenderedPageBreak/>
        <w:t>договору соц</w:t>
      </w:r>
      <w:r>
        <w:rPr>
          <w:sz w:val="28"/>
          <w:szCs w:val="28"/>
        </w:rPr>
        <w:t>и</w:t>
      </w:r>
      <w:r>
        <w:rPr>
          <w:sz w:val="28"/>
          <w:szCs w:val="28"/>
        </w:rPr>
        <w:t>ального найма, в случае если в отношении этой площади указанными лицами не взято на себя письменное обязательство о расторжении договора</w:t>
      </w:r>
      <w:proofErr w:type="gramEnd"/>
      <w:r>
        <w:rPr>
          <w:sz w:val="28"/>
          <w:szCs w:val="28"/>
        </w:rPr>
        <w:t xml:space="preserve"> социал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ного найма, её </w:t>
      </w:r>
      <w:proofErr w:type="gramStart"/>
      <w:r>
        <w:rPr>
          <w:sz w:val="28"/>
          <w:szCs w:val="28"/>
        </w:rPr>
        <w:t>освобождении</w:t>
      </w:r>
      <w:proofErr w:type="gramEnd"/>
      <w:r>
        <w:rPr>
          <w:sz w:val="28"/>
          <w:szCs w:val="28"/>
        </w:rPr>
        <w:t xml:space="preserve"> и передаче органу, предоставившему жилые помещения.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Содержание названной правовой нормы указывает на то, что при ра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чёте размера жилищной субсидии учёту подлежит занимаемая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щим и (или) членами его семьи по договору социального найма общая пл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щадь жилого помещения вне зависимости от того, кто является её нанимат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лем, и в отношении которой не дано обязательство о её освобождении.</w:t>
      </w:r>
      <w:proofErr w:type="gramEnd"/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Названные предписания Правил соответствуют положениям части 2 статьи 51 ЖК РФ, согласно которой при наличии у гражданина и (или) членов его семьи нескольких жилых помещений, занимаемых по договорам социального найма, определение уровня обеспеченности общей площадью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лого помещения осуществляется исходя из суммарной общей площади всех указанных жилых помещений.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делу установлено, что З., </w:t>
      </w:r>
      <w:proofErr w:type="gramStart"/>
      <w:r>
        <w:rPr>
          <w:sz w:val="28"/>
          <w:szCs w:val="28"/>
        </w:rPr>
        <w:t>обеспеченная</w:t>
      </w:r>
      <w:proofErr w:type="gramEnd"/>
      <w:r>
        <w:rPr>
          <w:sz w:val="28"/>
          <w:szCs w:val="28"/>
        </w:rPr>
        <w:t xml:space="preserve"> жилым помещением по договору социального найма менее учётной нормы, фактически поставила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прос об улучшении жилищных условий с предоставлением ей ещё одного жилого помещения в избранном месте жительства после увольнения с вое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ной службы с сохранением права пользования жилым помещением по пре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нему месту жительства.    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выделение заявителю жилищной субсидии из расч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та 42 кв. м на семью из 2 человек и без учёта доли жилого помещения, в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тором </w:t>
      </w:r>
      <w:proofErr w:type="gramStart"/>
      <w:r>
        <w:rPr>
          <w:sz w:val="28"/>
          <w:szCs w:val="28"/>
        </w:rPr>
        <w:t>она вместе с дочерью проживают</w:t>
      </w:r>
      <w:proofErr w:type="gramEnd"/>
      <w:r>
        <w:rPr>
          <w:sz w:val="28"/>
          <w:szCs w:val="28"/>
        </w:rPr>
        <w:t xml:space="preserve"> по договору социального найма, как правильно указывается в кассационной жалобе, приведёт к сверхнормати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ному обеспечению её жильём. 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у заявителя и её дочери объективной возможности взять на себя обязательство о расторжении договора социального найма либо дать письменное обязательство о передаче квартиры органу, предоставившему жилое помещение с учётом установленных обстоятельств, правового знач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ния для дела не имеет. 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изложенного следует, что З. вправе претендовать на получение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лищной субсидии с учётом 8,88 кв. м общей площади жилого помещения, занимаемого ею с дочерью по договору социального найма,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вывод судов о неправомерности направленного заявителю начальником 3 отд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 xml:space="preserve">» извещения от 26 сентября 2014 года основан на неправильном применении норм материального права.  </w:t>
      </w:r>
    </w:p>
    <w:p w:rsidR="0045496E" w:rsidRDefault="0045496E" w:rsidP="0045496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Допущенные судами нарушения повлияли на исход дела и без их ус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ранения невозможна защита охраняемых законом публичных интересов, что явилось основанием для отмены в кассационном порядке судебных актов и принятия по делу Судебной коллегией по делам военнослужащих нового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шения об отказе З. в удовлетворении заявления.</w:t>
      </w:r>
    </w:p>
    <w:p w:rsidR="00BD5EAF" w:rsidRDefault="00BD5EAF"/>
    <w:p w:rsidR="0045496E" w:rsidRPr="00010F65" w:rsidRDefault="0045496E" w:rsidP="0045496E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lastRenderedPageBreak/>
        <w:t xml:space="preserve">Информационный бюллетень военных судов № 4 (239) </w:t>
      </w:r>
    </w:p>
    <w:p w:rsidR="0045496E" w:rsidRDefault="0045496E"/>
    <w:sectPr w:rsidR="0045496E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5496E"/>
    <w:rsid w:val="0045496E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54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45496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45496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5496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45496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45496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1201</Words>
  <Characters>6852</Characters>
  <Application>Microsoft Office Word</Application>
  <DocSecurity>0</DocSecurity>
  <Lines>57</Lines>
  <Paragraphs>16</Paragraphs>
  <ScaleCrop>false</ScaleCrop>
  <Company>SPecialiST RePack</Company>
  <LinksUpToDate>false</LinksUpToDate>
  <CharactersWithSpaces>8037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2016-03-17T11:36:00Z</dcterms:created>
  <dcterms:modified xsi:type="dcterms:W3CDTF">2016-03-17T11:38:00Z</dcterms:modified>
</cp:coreProperties>
</file>