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729" w:rsidRPr="00FD617F" w:rsidRDefault="00241729" w:rsidP="00241729">
      <w:pPr>
        <w:pStyle w:val="a5"/>
        <w:jc w:val="center"/>
        <w:rPr>
          <w:rFonts w:ascii="Tahoma" w:hAnsi="Tahoma" w:cs="Tahoma"/>
          <w:b/>
          <w:iCs/>
          <w:sz w:val="28"/>
          <w:szCs w:val="28"/>
        </w:rPr>
      </w:pPr>
      <w:bookmarkStart w:id="0" w:name="_GoBack"/>
      <w:bookmarkEnd w:id="0"/>
      <w:r w:rsidRPr="00FD617F">
        <w:rPr>
          <w:rFonts w:ascii="Tahoma" w:hAnsi="Tahoma" w:cs="Tahoma"/>
          <w:b/>
          <w:iCs/>
          <w:sz w:val="28"/>
          <w:szCs w:val="28"/>
        </w:rPr>
        <w:t>Излишне выплаченная военнослужащему компенсация, предоставляемая в связи с прохождением им военной службы, подлежит взысканию с него как неосновательное обогащение, только если ее выплата явилась результатом недобросовестности со стороны военнослужащего</w:t>
      </w:r>
      <w:r>
        <w:rPr>
          <w:rFonts w:ascii="Tahoma" w:hAnsi="Tahoma" w:cs="Tahoma"/>
          <w:b/>
          <w:iCs/>
          <w:sz w:val="28"/>
          <w:szCs w:val="28"/>
        </w:rPr>
        <w:br/>
      </w:r>
      <w:r w:rsidRPr="00FD617F">
        <w:rPr>
          <w:rFonts w:ascii="Tahoma" w:hAnsi="Tahoma" w:cs="Tahoma"/>
          <w:b/>
          <w:iCs/>
          <w:sz w:val="28"/>
          <w:szCs w:val="28"/>
        </w:rPr>
        <w:t>или счетной ошибки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i/>
          <w:sz w:val="28"/>
          <w:szCs w:val="28"/>
        </w:rPr>
      </w:pPr>
      <w:r w:rsidRPr="00FD617F">
        <w:rPr>
          <w:rFonts w:ascii="Tahoma" w:hAnsi="Tahoma" w:cs="Tahoma"/>
          <w:i/>
          <w:sz w:val="28"/>
          <w:szCs w:val="28"/>
        </w:rPr>
        <w:t>Кассационное определение от 9 ноября 2021 г. № 88-2021/2021 по исковому заявлению к А. (извлечение)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Решением Смоленского гарнизонного военного суда от 26 мая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2021 г. командиру воинской части отказано в удовлетворении иска к А. о взыскании с военнослужащего 36 000 руб., излишне выплаченных в качестве денежной компенсации за поднаем жилого помещения в период с 1 декабря 2012 г. по 30 сентября 2013 г.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Апелляционным определением 2-го Западного окружного военного суда от 3 августа 2021 г. решение суда первой инстанции отменено, и по </w:t>
      </w:r>
      <w:proofErr w:type="gramStart"/>
      <w:r w:rsidRPr="00FD617F">
        <w:rPr>
          <w:rFonts w:ascii="Tahoma" w:hAnsi="Tahoma" w:cs="Tahoma"/>
          <w:sz w:val="28"/>
          <w:szCs w:val="28"/>
        </w:rPr>
        <w:t>делу  принято</w:t>
      </w:r>
      <w:proofErr w:type="gramEnd"/>
      <w:r w:rsidRPr="00FD617F">
        <w:rPr>
          <w:rFonts w:ascii="Tahoma" w:hAnsi="Tahoma" w:cs="Tahoma"/>
          <w:sz w:val="28"/>
          <w:szCs w:val="28"/>
        </w:rPr>
        <w:t xml:space="preserve"> новое решение о взыскании с А. в пользу воинской части указанных денежных средств.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Рассмотрев дело по кассационной жалобе ответчика, Кассационный военный суд апелляционное определение отменил, оставил в силе решение суда первой инстанции, исходя из следующего.  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Из материалов дела следует, что в период прохождения военной службы в воинской части А. на основании приказов командования получил денежную компенсацию за поднаем жилого помещения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за период с 1 декабря 2012 г. по 30 сентября 2013 г. в общей сумме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36 000 руб.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По результатам проверки органом ведомственного финансового контроля финансово-экономической и хозяйственной деятельности воинской части от 8 мая 2018 г. было установлено, что выплата А. названной компенсации произведена в отсутствие решения жилищного органа о признании его нуждающимся в жилом помещении. В связи с этим командир воинской части обратился в суд с иском к ответчику.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Разрешая дело по существу и отказывая в удовлетворении иска, суд первой инстанции исходил из отсутствия в деле данных о том, что выплата ответчику денежной компенсации, произведенная на основании соответствующих приказов, явилась результатом недобросовестности со стороны А. или счетной ошибки.  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Суд апелляционной инстанции, отменяя решение суда первой инстанции и принимая новое решение об удовлетворении иска, посчитал, что денежная компенсация на наем (поднаем) жилых помещений носит компенсационный характер и не подпадает под категорию денежных средств, приравненных к заработной плате и предоставленных гражданину в качестве средства к существованию. Окружной военный суд также указал, что обязательным условием для получения выплаты </w:t>
      </w:r>
      <w:r w:rsidRPr="00FD617F">
        <w:rPr>
          <w:rFonts w:ascii="Tahoma" w:hAnsi="Tahoma" w:cs="Tahoma"/>
          <w:sz w:val="28"/>
          <w:szCs w:val="28"/>
        </w:rPr>
        <w:lastRenderedPageBreak/>
        <w:t xml:space="preserve">названной денежной компенсации является не только отсутствие у военнослужащего жилья по месту прохождения им военной службы, но и признание его в установленном порядке нуждающимся в служебном жилом помещении, чего по делу не установлено.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Такие выводы суда апелляционной инстанции являются ошибочными.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Согласно п. 3 ст. 15 Федерального закона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 компенсацию за наем (поднаем) жилых помещений в </w:t>
      </w:r>
      <w:hyperlink r:id="rId4" w:history="1">
        <w:r w:rsidRPr="00FD617F">
          <w:rPr>
            <w:rFonts w:ascii="Tahoma" w:hAnsi="Tahoma" w:cs="Tahoma"/>
            <w:sz w:val="28"/>
            <w:szCs w:val="28"/>
          </w:rPr>
          <w:t>порядке</w:t>
        </w:r>
      </w:hyperlink>
      <w:r w:rsidRPr="00FD617F">
        <w:rPr>
          <w:rFonts w:ascii="Tahoma" w:hAnsi="Tahoma" w:cs="Tahoma"/>
          <w:sz w:val="28"/>
          <w:szCs w:val="28"/>
        </w:rPr>
        <w:t xml:space="preserve"> и </w:t>
      </w:r>
      <w:hyperlink r:id="rId5" w:history="1">
        <w:r w:rsidRPr="00FD617F">
          <w:rPr>
            <w:rFonts w:ascii="Tahoma" w:hAnsi="Tahoma" w:cs="Tahoma"/>
            <w:sz w:val="28"/>
            <w:szCs w:val="28"/>
          </w:rPr>
          <w:t>размерах</w:t>
        </w:r>
      </w:hyperlink>
      <w:r w:rsidRPr="00FD617F">
        <w:rPr>
          <w:rFonts w:ascii="Tahoma" w:hAnsi="Tahoma" w:cs="Tahoma"/>
          <w:sz w:val="28"/>
          <w:szCs w:val="28"/>
        </w:rPr>
        <w:t>, которые определяются Правительством России.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По смыслу названных законодательных положений денежная компенсация за наем (поднаем) жилых помещений относится к числу гарантий, предоставляемых военнослужащим, непосредственно связана со служебной деятельностью таких лиц и направлена на возмещение дополнительных затрат в связи с прохождением военной службы в местности, отличной от их предыдущего места жительства. </w:t>
      </w:r>
    </w:p>
    <w:p w:rsidR="00241729" w:rsidRPr="00FD617F" w:rsidRDefault="00241729" w:rsidP="00241729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Согласно </w:t>
      </w:r>
      <w:hyperlink r:id="rId6" w:history="1">
        <w:r w:rsidRPr="00FD617F">
          <w:rPr>
            <w:rFonts w:ascii="Tahoma" w:hAnsi="Tahoma" w:cs="Tahoma"/>
            <w:sz w:val="28"/>
            <w:szCs w:val="28"/>
          </w:rPr>
          <w:t>п. 1 ст. 1102</w:t>
        </w:r>
      </w:hyperlink>
      <w:r w:rsidRPr="00FD617F">
        <w:rPr>
          <w:rFonts w:ascii="Tahoma" w:hAnsi="Tahoma" w:cs="Tahoma"/>
          <w:sz w:val="28"/>
          <w:szCs w:val="28"/>
        </w:rPr>
        <w:t xml:space="preserve"> ГК РФ лицо, которое без установленных законом, иными правовыми актами или сделкой оснований приобрело или сберегло имущество (приобретатель) за счет другого лица (потерпевшего), обязано возвратить последнему неосновательно приобретенное или сбереженное имущество (неосновательное обогащение).</w:t>
      </w:r>
    </w:p>
    <w:p w:rsidR="00241729" w:rsidRPr="00FD617F" w:rsidRDefault="00241729" w:rsidP="00241729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При этом в соответствии с </w:t>
      </w:r>
      <w:hyperlink r:id="rId7" w:history="1">
        <w:r w:rsidRPr="00FD617F">
          <w:rPr>
            <w:rFonts w:ascii="Tahoma" w:hAnsi="Tahoma" w:cs="Tahoma"/>
            <w:sz w:val="28"/>
            <w:szCs w:val="28"/>
          </w:rPr>
          <w:t>подп. 3 ст. 1109</w:t>
        </w:r>
      </w:hyperlink>
      <w:r w:rsidRPr="00FD617F">
        <w:rPr>
          <w:rFonts w:ascii="Tahoma" w:hAnsi="Tahoma" w:cs="Tahoma"/>
          <w:sz w:val="28"/>
          <w:szCs w:val="28"/>
        </w:rPr>
        <w:t xml:space="preserve"> ГК РФ не подлежат возврату в качестве неосновательного обогащения заработная плата и приравненные к ней платежи, пенсии, пособия, стипендии, возмещение вреда, причиненного жизни или здоровью, алименты и иные денежные суммы, предоставленные гражданину в качестве средства к существованию, при отсутствии недобросовестности с его стороны и счетной ошибки.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Таким образом, излишне начисленная и полученная военнослужащим в период военной службы денежная компенсация за наем (поднаем) жилых помещений подлежит взысканию с него как неосновательное обогащение, только если выплата названной компенсации явилась результатом недобросовестности со стороны военнослужащего или счетной ошибки.  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Кроме того, суд апелляционной инстанции не учел, что действовавшая до 17 октября 2016 г. Инструкция о мерах по реализации в Вооруженных Силах Российской Федерации постановления Правительства Российской Федерации от 31 декабря 2004 г. № 909, утвержденная приказом Министра обороны РФ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 xml:space="preserve">от 16 июня 2005 г. № 235, содержала исчерпывающий перечень документов, на основании которых командир воинской части принимал решение о выплате денежной компенсации за наем (поднаем) жилых помещений военнослужащим.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 xml:space="preserve">При этом в данный перечень не входила обязанность представлять документы, подтверждающие факт нахождения военнослужащего на жилищном учете. Решение о выплате денежной компенсации либо об отказе находилось в исключительной компетенции командира воинской части. Эта выплата не ставилась в зависимость от нахождения военнослужащего на учете нуждающихся в получении служебного жилого помещения. 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Соответствующие изменения были внесены в Положение о выплате денежной компенсации за наем (поднаем) жилых помещений военнослужащим – гражданам Российской Федерации, проходящим военную службу по контракту, и членам их семей, утвержденное указанным постановлением Правительства РФ, лишь в сентябре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2015 г. постановлением Правительства РФ от 18 сентября 2015 г.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№ 989, действующим с 30 сентября того же года.</w:t>
      </w:r>
    </w:p>
    <w:p w:rsidR="00241729" w:rsidRPr="00FD617F" w:rsidRDefault="00241729" w:rsidP="00241729">
      <w:pPr>
        <w:pStyle w:val="a3"/>
        <w:ind w:firstLine="426"/>
        <w:jc w:val="both"/>
        <w:rPr>
          <w:rFonts w:ascii="Tahoma" w:hAnsi="Tahoma" w:cs="Tahoma"/>
          <w:sz w:val="28"/>
          <w:szCs w:val="28"/>
        </w:rPr>
      </w:pPr>
      <w:r w:rsidRPr="00FD617F">
        <w:rPr>
          <w:rFonts w:ascii="Tahoma" w:hAnsi="Tahoma" w:cs="Tahoma"/>
          <w:sz w:val="28"/>
          <w:szCs w:val="28"/>
        </w:rPr>
        <w:t>Каких-либо доказательств, свидетельствующих о том, что на момент получения названной компенсации с 1 декабря 2012 г.</w:t>
      </w:r>
      <w:r>
        <w:rPr>
          <w:rFonts w:ascii="Tahoma" w:hAnsi="Tahoma" w:cs="Tahoma"/>
          <w:sz w:val="28"/>
          <w:szCs w:val="28"/>
        </w:rPr>
        <w:br/>
      </w:r>
      <w:r w:rsidRPr="00FD617F">
        <w:rPr>
          <w:rFonts w:ascii="Tahoma" w:hAnsi="Tahoma" w:cs="Tahoma"/>
          <w:sz w:val="28"/>
          <w:szCs w:val="28"/>
        </w:rPr>
        <w:t>по 30 сентября 2013 г. ответчик был обеспечен жильем по месту военной службы, материалы дела не содержат.</w:t>
      </w:r>
    </w:p>
    <w:p w:rsidR="00241729" w:rsidRDefault="00241729" w:rsidP="00241729"/>
    <w:p w:rsidR="00241729" w:rsidRPr="00EC4F82" w:rsidRDefault="00241729" w:rsidP="00241729">
      <w:pPr>
        <w:pStyle w:val="10"/>
        <w:widowControl/>
        <w:jc w:val="center"/>
        <w:rPr>
          <w:i/>
          <w:sz w:val="28"/>
          <w:szCs w:val="28"/>
        </w:rPr>
      </w:pPr>
      <w:r w:rsidRPr="00EC4F82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EC4F82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EC4F82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EC4F82">
        <w:rPr>
          <w:i/>
          <w:sz w:val="28"/>
          <w:szCs w:val="28"/>
        </w:rPr>
        <w:t>№ 4 (263</w:t>
      </w:r>
      <w:r>
        <w:rPr>
          <w:i/>
          <w:sz w:val="28"/>
          <w:szCs w:val="28"/>
        </w:rPr>
        <w:t>. М</w:t>
      </w:r>
      <w:r w:rsidRPr="00EC4F82">
        <w:rPr>
          <w:i/>
          <w:sz w:val="28"/>
          <w:szCs w:val="28"/>
        </w:rPr>
        <w:t>осква 2021 г.</w:t>
      </w:r>
    </w:p>
    <w:p w:rsidR="001A5778" w:rsidRDefault="001A5778" w:rsidP="00241729">
      <w:pPr>
        <w:pStyle w:val="a3"/>
      </w:pPr>
    </w:p>
    <w:sectPr w:rsidR="001A5778" w:rsidSect="00241729">
      <w:pgSz w:w="11907" w:h="16839" w:code="9"/>
      <w:pgMar w:top="851" w:right="567" w:bottom="851" w:left="1701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8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729"/>
    <w:rsid w:val="001A5778"/>
    <w:rsid w:val="00241729"/>
    <w:rsid w:val="002D4B5A"/>
    <w:rsid w:val="004E7277"/>
    <w:rsid w:val="00973322"/>
    <w:rsid w:val="00BE0C54"/>
    <w:rsid w:val="00D3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78171-BB28-4F39-9CFB-BC2763AB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729"/>
    <w:pPr>
      <w:spacing w:after="200" w:line="276" w:lineRule="auto"/>
      <w:ind w:firstLine="0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241729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uiPriority w:val="10"/>
    <w:rsid w:val="0024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Название Знак1"/>
    <w:basedOn w:val="a0"/>
    <w:link w:val="a3"/>
    <w:rsid w:val="00241729"/>
    <w:rPr>
      <w:rFonts w:ascii="Times New Roman" w:eastAsia="Times New Roman" w:hAnsi="Times New Roman" w:cs="Times New Roman"/>
      <w:sz w:val="32"/>
      <w:szCs w:val="20"/>
    </w:rPr>
  </w:style>
  <w:style w:type="paragraph" w:styleId="a5">
    <w:name w:val="Normal (Web)"/>
    <w:basedOn w:val="a"/>
    <w:uiPriority w:val="99"/>
    <w:unhideWhenUsed/>
    <w:rsid w:val="0024172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0">
    <w:name w:val="Обычный1"/>
    <w:rsid w:val="00241729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0F6DEE93D8616E619DC1A89BF5F3EBC7BED026691AE18387CEA41DD842D52FEBD4425835494C4C3140A8C107B90DC98C27CF435C66DA0C8I8W6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0F6DEE93D8616E619DC1A89BF5F3EBC7BED026691AE18387CEA41DD842D52FEBD4425835494C4CD110A8C107B90DC98C27CF435C66DA0C8I8W6D" TargetMode="External"/><Relationship Id="rId5" Type="http://schemas.openxmlformats.org/officeDocument/2006/relationships/hyperlink" Target="consultantplus://offline/ref=5F9C45AD84E9832670F216D5C1CC2F80784C0B7114A4AC77715CEA5A91903021A16FAE0FBF84DD13a1fDJ" TargetMode="External"/><Relationship Id="rId4" Type="http://schemas.openxmlformats.org/officeDocument/2006/relationships/hyperlink" Target="consultantplus://offline/ref=5F9C45AD84E9832670F216D5C1CC2F80784C0B7114A4AC77715CEA5A91903021A16FAE0FBF84DD10a1f5J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2022-04-26T08:35:00Z</dcterms:created>
  <dcterms:modified xsi:type="dcterms:W3CDTF">2022-04-26T08:35:00Z</dcterms:modified>
</cp:coreProperties>
</file>