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171" w:rsidRPr="00CD1171" w:rsidRDefault="00CD1171" w:rsidP="00CD1171">
      <w:pPr>
        <w:pStyle w:val="a3"/>
        <w:ind w:firstLine="709"/>
        <w:jc w:val="both"/>
        <w:rPr>
          <w:rStyle w:val="font4"/>
          <w:b/>
          <w:i/>
          <w:sz w:val="26"/>
          <w:szCs w:val="26"/>
        </w:rPr>
      </w:pPr>
      <w:r w:rsidRPr="00CD1171">
        <w:rPr>
          <w:rStyle w:val="font4"/>
          <w:b/>
          <w:i/>
          <w:sz w:val="26"/>
          <w:szCs w:val="26"/>
        </w:rPr>
        <w:t xml:space="preserve">Поскольку ранее вступившим в законную силу решением суда установлено,  что повторная выплата денежного довольствия </w:t>
      </w:r>
      <w:r w:rsidRPr="00CD1171">
        <w:rPr>
          <w:rStyle w:val="font4"/>
          <w:b/>
          <w:i/>
          <w:sz w:val="26"/>
          <w:szCs w:val="26"/>
          <w:u w:val="single"/>
        </w:rPr>
        <w:t>не была обусловлена</w:t>
      </w:r>
      <w:r w:rsidRPr="00CD1171">
        <w:rPr>
          <w:rStyle w:val="font4"/>
          <w:b/>
          <w:i/>
          <w:sz w:val="26"/>
          <w:szCs w:val="26"/>
        </w:rPr>
        <w:t>, как счетная ошибка или недобросовестные действия ответчика, то иск финансового учреждения о её взыскании неправомерен.</w:t>
      </w:r>
    </w:p>
    <w:p w:rsidR="00CD1171" w:rsidRPr="00A76133" w:rsidRDefault="00A76133" w:rsidP="00CD1171">
      <w:pPr>
        <w:pStyle w:val="a3"/>
        <w:jc w:val="center"/>
        <w:rPr>
          <w:rStyle w:val="font6"/>
          <w:i/>
          <w:sz w:val="32"/>
          <w:szCs w:val="26"/>
        </w:rPr>
      </w:pPr>
      <w:r w:rsidRPr="00A76133">
        <w:rPr>
          <w:rStyle w:val="font6"/>
          <w:i/>
          <w:sz w:val="32"/>
          <w:szCs w:val="26"/>
        </w:rPr>
        <w:t>(Исковое заявление)</w:t>
      </w:r>
    </w:p>
    <w:p w:rsidR="00CD1171" w:rsidRPr="00CD1171" w:rsidRDefault="00CD1171" w:rsidP="00CD1171">
      <w:pPr>
        <w:pStyle w:val="a3"/>
        <w:jc w:val="center"/>
        <w:rPr>
          <w:b/>
          <w:sz w:val="32"/>
          <w:szCs w:val="26"/>
        </w:rPr>
      </w:pPr>
      <w:r w:rsidRPr="00CD1171">
        <w:rPr>
          <w:rStyle w:val="font6"/>
          <w:b/>
          <w:sz w:val="32"/>
          <w:szCs w:val="26"/>
        </w:rPr>
        <w:t>ВЕРХОВНЫЙ СУД РОССИЙСКОЙ ФЕДЕРАЦИИ</w:t>
      </w:r>
    </w:p>
    <w:p w:rsidR="00CD1171" w:rsidRPr="00CD1171" w:rsidRDefault="00CD1171" w:rsidP="00CD1171">
      <w:pPr>
        <w:pStyle w:val="a3"/>
        <w:ind w:firstLine="709"/>
        <w:jc w:val="right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№201-КГ14-45</w:t>
      </w:r>
    </w:p>
    <w:p w:rsidR="00CD1171" w:rsidRPr="00CD1171" w:rsidRDefault="00CD1171" w:rsidP="00CD1171">
      <w:pPr>
        <w:pStyle w:val="a3"/>
        <w:ind w:firstLine="709"/>
        <w:jc w:val="center"/>
        <w:rPr>
          <w:sz w:val="32"/>
          <w:szCs w:val="26"/>
        </w:rPr>
      </w:pPr>
      <w:r w:rsidRPr="00CD1171">
        <w:rPr>
          <w:rStyle w:val="font3"/>
          <w:sz w:val="32"/>
          <w:szCs w:val="26"/>
        </w:rPr>
        <w:t>ОПРЕДЕЛЕНИЕ</w:t>
      </w:r>
    </w:p>
    <w:p w:rsidR="00CD1171" w:rsidRPr="00CD1171" w:rsidRDefault="00CD1171" w:rsidP="00CD1171">
      <w:pPr>
        <w:pStyle w:val="a3"/>
        <w:ind w:firstLine="709"/>
        <w:jc w:val="center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об отказе в передаче кассационной жалобы для рассмотрения в судебном заседании суда кассационной инстанции</w:t>
      </w:r>
    </w:p>
    <w:p w:rsidR="00CD1171" w:rsidRPr="00CD1171" w:rsidRDefault="00CD1171" w:rsidP="00CD1171">
      <w:pPr>
        <w:pStyle w:val="a3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г. Москва</w:t>
      </w:r>
      <w:r w:rsidRPr="00CD1171">
        <w:rPr>
          <w:rStyle w:val="font1"/>
          <w:sz w:val="26"/>
          <w:szCs w:val="26"/>
        </w:rPr>
        <w:t>                                                                                         </w:t>
      </w:r>
      <w:r w:rsidRPr="00CD1171">
        <w:rPr>
          <w:rStyle w:val="font4"/>
          <w:sz w:val="26"/>
          <w:szCs w:val="26"/>
        </w:rPr>
        <w:t>19 ноября 2014 г.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 xml:space="preserve">Судья Верховного Суда Российской Федерации </w:t>
      </w:r>
      <w:proofErr w:type="spellStart"/>
      <w:r w:rsidRPr="00CD1171">
        <w:rPr>
          <w:rStyle w:val="font4"/>
          <w:sz w:val="26"/>
          <w:szCs w:val="26"/>
        </w:rPr>
        <w:t>Сокерин</w:t>
      </w:r>
      <w:proofErr w:type="spellEnd"/>
      <w:r w:rsidRPr="00CD1171">
        <w:rPr>
          <w:rStyle w:val="font4"/>
          <w:sz w:val="26"/>
          <w:szCs w:val="26"/>
        </w:rPr>
        <w:t xml:space="preserve"> С.Г., изучив материалы истребованного гражданского дела и кассационную жалобу руководителя федерального казенного учреждения «Единый расчетный центр Министерства обороны РФ» (далее - ЕРЦ) на решение Калужского гарнизонного военного суда от И сентября 2013 г. и апелляционное определение судебной коллегии Московского окружного военного суда от 19 декабря 2013 г. по гражданскому делу по иску ЕРЦ к Юсупову Михаилу Михайловичу о взыскании средств неосновательного обогащения,</w:t>
      </w:r>
    </w:p>
    <w:p w:rsidR="00CD1171" w:rsidRPr="00CD1171" w:rsidRDefault="00CD1171" w:rsidP="00CD1171">
      <w:pPr>
        <w:pStyle w:val="a3"/>
        <w:jc w:val="center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установил: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Юсупову, проходившему военную службу в войсковой части 06987, в феврале 2012 года повторно было выплачено денежное довольствие за январь 2012 года.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 xml:space="preserve">Руководителем ЕРЦ Юсупову направлена претензия, с предложением вернуть излишне выплаченные денежные средства в срок до 1 августа 2013 г., которое ответчиком исполнено не было. В связи с этим ЕРЦ обратился в суд с </w:t>
      </w:r>
      <w:r w:rsidRPr="00A76133">
        <w:rPr>
          <w:rStyle w:val="font4"/>
          <w:b/>
          <w:sz w:val="26"/>
          <w:szCs w:val="26"/>
        </w:rPr>
        <w:t>иском о взыскании</w:t>
      </w:r>
      <w:r w:rsidRPr="00CD1171">
        <w:rPr>
          <w:rStyle w:val="font4"/>
          <w:sz w:val="26"/>
          <w:szCs w:val="26"/>
        </w:rPr>
        <w:t xml:space="preserve"> с Юсупова излишне полученных средств в сумме 52 550 рублей в качестве неосновательного обогащения, а также судебных расходов.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Указанным выше решением суда первой инстанции, оставленным без изменения апелляционным определением, в удовлетворении иска отказано.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Определением судьи Московского окружного военного суда от 27 августа 2014 г. в передаче жалобы представителя ЕРЦ для рассмотрения в судебном заседании суда кассационной инстанции отказано.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 xml:space="preserve">В жалобе, адресованной в Военную коллегию Верховного Суда Российской Федерации, руководитель ЕРЦ выражает несогласие с принятыми по делу </w:t>
      </w:r>
      <w:r w:rsidRPr="00CD1171">
        <w:rPr>
          <w:rStyle w:val="font4"/>
          <w:sz w:val="26"/>
          <w:szCs w:val="26"/>
        </w:rPr>
        <w:lastRenderedPageBreak/>
        <w:t>судебными постановлениями, просит их отменить, после чего принять по делу новое судебное постановление об удовлетворении требований в полном объеме.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В обоснование своей просьбы, автор кассационной жалобы, ссылаясь на обстоятельства дела и анализируя нормы действующего законодательства, в частности ст. 1102 и 1109 ГК РФ, а также практику ЕСПЧ, приводит доводы, которые сводятся к тому, что Юсупов, зная о причитающемся ему количестве денежного довольствия, получив его в большем размере, излишне полученные денежные средства не возвратил, что указывает на недобросовестность его действий. Кроме того, по мнению руководителя ЕРЦ, денежные средства, полученные Юсуповым, не являются средствами к его существованию, а поэтому могут быть взысканы с него в качестве неосновательного обогащения.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Проверив доводы жалобы, нахожу, что оснований для её передачи на рассмотрение в судебном заседании суда кассационной инстанции не имеется.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Согласно статье 387 ГПК РФ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Таких нарушений судебными инстанциями не допущено.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 xml:space="preserve">Как усматривается из материалов дела, в них имеется копия вступившего в законную силу решения Калужского гарнизонного суда от 7 ноября 2012 г. об оспаривании Юсуповым действий ЕРЦ, связанных с удержанием из его денежного довольствия излишне выплаченной денежной суммы, которое было исследовано в судебном заседании. </w:t>
      </w:r>
      <w:r w:rsidRPr="00CD1171">
        <w:rPr>
          <w:rStyle w:val="font4"/>
          <w:b/>
          <w:sz w:val="26"/>
          <w:szCs w:val="26"/>
        </w:rPr>
        <w:t>Этим решением установлено</w:t>
      </w:r>
      <w:r w:rsidRPr="00CD1171">
        <w:rPr>
          <w:rStyle w:val="font4"/>
          <w:sz w:val="26"/>
          <w:szCs w:val="26"/>
        </w:rPr>
        <w:t xml:space="preserve">, что повторная выплата Юсупову денежного довольствия за январь 2012 года </w:t>
      </w:r>
      <w:r w:rsidRPr="00CD1171">
        <w:rPr>
          <w:rStyle w:val="font4"/>
          <w:b/>
          <w:sz w:val="26"/>
          <w:szCs w:val="26"/>
        </w:rPr>
        <w:t>не была обусловлена, как счетной ошибкой, так и его недобросовестными действиями</w:t>
      </w:r>
      <w:r w:rsidRPr="00CD1171">
        <w:rPr>
          <w:rStyle w:val="font4"/>
          <w:sz w:val="26"/>
          <w:szCs w:val="26"/>
        </w:rPr>
        <w:t>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В соответствие с ч. 2 ст. 61 ГПК РФ обстоятельства, установленные вступившим в законную силу судебным постановлением по ранее рассмотренному делу, обязательны для суда. Указанные обстоятельства не доказываются вновь и не подлежат оспариванию при рассмотрении другого дела, в котором участвуют те же лица.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В силу изложенного доводы автора кассационной жалобы о недобросовестности действий Юсупова не могут быть приняты во внимание, а также повлечь пересмотр настоящего дела в кассационном порядке.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Поскольку денежные средства перечисленные Юсупову в феврале 2012 года являлись его денежным довольствием (заработной платой) за январь 2012 года, то утверждения руководителя ЕРЦ о том, что данная выплата это иная денежная сумма, которая была предоставлена ответчику не в к качестве средства к существованию, на законе не основаны.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lastRenderedPageBreak/>
        <w:t>При рассмотрении данного дела судом первой инстанции и окружным военным судом не допущено нарушений норм материального или процессуального пра</w:t>
      </w:r>
      <w:r w:rsidRPr="00CD1171">
        <w:rPr>
          <w:rStyle w:val="font5"/>
          <w:sz w:val="26"/>
          <w:szCs w:val="26"/>
        </w:rPr>
        <w:t>ва, влекущих отмену или изменение обжалуемых постановлений в кассационном порядке.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5"/>
          <w:sz w:val="26"/>
          <w:szCs w:val="26"/>
        </w:rPr>
        <w:t>Руководствуясь п. 1ч. 2 ст. 381 и ст. 383 ГПК РФ,</w:t>
      </w:r>
    </w:p>
    <w:p w:rsidR="00CD1171" w:rsidRPr="00CD1171" w:rsidRDefault="00CD1171" w:rsidP="00CD1171">
      <w:pPr>
        <w:pStyle w:val="a3"/>
        <w:jc w:val="center"/>
        <w:rPr>
          <w:sz w:val="26"/>
          <w:szCs w:val="26"/>
        </w:rPr>
      </w:pPr>
      <w:r w:rsidRPr="00CD1171">
        <w:rPr>
          <w:rStyle w:val="font5"/>
          <w:sz w:val="26"/>
          <w:szCs w:val="26"/>
        </w:rPr>
        <w:t>определил: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5"/>
          <w:sz w:val="26"/>
          <w:szCs w:val="26"/>
        </w:rPr>
        <w:t>в передаче кассационной жалобы руководителя федерального казенного учреждения «Единый расчетный центр Министерства обороны РФ» на решение Калужского гарнизонного военного суда от 11 сентября 2013 г. и апелляционное определение судебной коллегии Московского окружного военного суда от 19 декабря 2013 г. по гражданскому делу по иску ЕРЦ к Юсупову Михаилу Михайловичу о взыскании средств неосновательного обогащения, для рассмотрения в судебном заседании суда кассационной инстанции отказать.</w:t>
      </w:r>
    </w:p>
    <w:p w:rsidR="00CD1171" w:rsidRDefault="00CD1171" w:rsidP="00CD1171">
      <w:pPr>
        <w:pStyle w:val="a3"/>
        <w:jc w:val="both"/>
        <w:rPr>
          <w:rStyle w:val="font5"/>
          <w:sz w:val="26"/>
          <w:szCs w:val="26"/>
        </w:rPr>
      </w:pPr>
    </w:p>
    <w:p w:rsidR="00CD1171" w:rsidRPr="00CD1171" w:rsidRDefault="00CD1171" w:rsidP="00CD1171">
      <w:pPr>
        <w:pStyle w:val="a3"/>
        <w:jc w:val="both"/>
        <w:rPr>
          <w:sz w:val="26"/>
          <w:szCs w:val="26"/>
        </w:rPr>
      </w:pPr>
      <w:r w:rsidRPr="00CD1171">
        <w:rPr>
          <w:rStyle w:val="font5"/>
          <w:sz w:val="26"/>
          <w:szCs w:val="26"/>
        </w:rPr>
        <w:t>Судья Верховного Суда</w:t>
      </w:r>
    </w:p>
    <w:p w:rsidR="00CD1171" w:rsidRPr="00CD1171" w:rsidRDefault="00CD1171" w:rsidP="00CD1171">
      <w:pPr>
        <w:pStyle w:val="a3"/>
        <w:jc w:val="both"/>
        <w:rPr>
          <w:sz w:val="26"/>
          <w:szCs w:val="26"/>
        </w:rPr>
      </w:pPr>
      <w:r w:rsidRPr="00CD1171">
        <w:rPr>
          <w:rStyle w:val="font5"/>
          <w:sz w:val="26"/>
          <w:szCs w:val="26"/>
        </w:rPr>
        <w:t>Российской Федерации</w:t>
      </w:r>
      <w:r w:rsidRPr="00CD1171">
        <w:rPr>
          <w:rStyle w:val="font2"/>
          <w:sz w:val="26"/>
          <w:szCs w:val="26"/>
        </w:rPr>
        <w:t xml:space="preserve">                </w:t>
      </w:r>
      <w:r w:rsidRPr="00CD1171">
        <w:rPr>
          <w:rStyle w:val="font5"/>
          <w:i/>
          <w:iCs/>
          <w:sz w:val="26"/>
          <w:szCs w:val="26"/>
        </w:rPr>
        <w:t>/* /</w:t>
      </w:r>
      <w:r w:rsidRPr="00CD1171">
        <w:rPr>
          <w:rStyle w:val="font2"/>
          <w:i/>
          <w:iCs/>
          <w:sz w:val="26"/>
          <w:szCs w:val="26"/>
        </w:rPr>
        <w:t xml:space="preserve">                                  </w:t>
      </w:r>
      <w:r w:rsidRPr="00CD1171">
        <w:rPr>
          <w:rStyle w:val="font5"/>
          <w:sz w:val="26"/>
          <w:szCs w:val="26"/>
        </w:rPr>
        <w:t xml:space="preserve">С.Г. </w:t>
      </w:r>
      <w:proofErr w:type="spellStart"/>
      <w:r w:rsidRPr="00CD1171">
        <w:rPr>
          <w:rStyle w:val="font5"/>
          <w:sz w:val="26"/>
          <w:szCs w:val="26"/>
        </w:rPr>
        <w:t>Сокерин</w:t>
      </w:r>
      <w:proofErr w:type="spellEnd"/>
    </w:p>
    <w:p w:rsidR="006B0D1F" w:rsidRDefault="006B0D1F"/>
    <w:sectPr w:rsidR="006B0D1F" w:rsidSect="006B0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CD1171"/>
    <w:rsid w:val="006B0D1F"/>
    <w:rsid w:val="00A76133"/>
    <w:rsid w:val="00CD11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D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CD1171"/>
  </w:style>
  <w:style w:type="character" w:customStyle="1" w:styleId="font4">
    <w:name w:val="font4"/>
    <w:basedOn w:val="a0"/>
    <w:rsid w:val="00CD1171"/>
  </w:style>
  <w:style w:type="character" w:customStyle="1" w:styleId="font3">
    <w:name w:val="font3"/>
    <w:basedOn w:val="a0"/>
    <w:rsid w:val="00CD1171"/>
  </w:style>
  <w:style w:type="character" w:customStyle="1" w:styleId="font1">
    <w:name w:val="font1"/>
    <w:basedOn w:val="a0"/>
    <w:rsid w:val="00CD1171"/>
  </w:style>
  <w:style w:type="character" w:customStyle="1" w:styleId="font0">
    <w:name w:val="font0"/>
    <w:basedOn w:val="a0"/>
    <w:rsid w:val="00CD1171"/>
  </w:style>
  <w:style w:type="character" w:customStyle="1" w:styleId="font5">
    <w:name w:val="font5"/>
    <w:basedOn w:val="a0"/>
    <w:rsid w:val="00CD1171"/>
  </w:style>
  <w:style w:type="character" w:customStyle="1" w:styleId="font2">
    <w:name w:val="font2"/>
    <w:basedOn w:val="a0"/>
    <w:rsid w:val="00CD11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dcterms:created xsi:type="dcterms:W3CDTF">2016-04-15T10:32:00Z</dcterms:created>
  <dcterms:modified xsi:type="dcterms:W3CDTF">2016-04-15T10:33:00Z</dcterms:modified>
</cp:coreProperties>
</file>