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9B7" w:rsidRPr="000059B7" w:rsidRDefault="00B024A8" w:rsidP="00B024A8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28"/>
          <w:szCs w:val="28"/>
        </w:rPr>
      </w:pPr>
      <w:r w:rsidRPr="000059B7">
        <w:rPr>
          <w:rStyle w:val="font4"/>
          <w:b/>
          <w:color w:val="000000"/>
          <w:sz w:val="28"/>
          <w:szCs w:val="28"/>
        </w:rPr>
        <w:t xml:space="preserve">Выводы судов, что исчисление срока исковой давности необходимо производить с даты, когда ЕРЦ последний раз неосновательно перечислил </w:t>
      </w:r>
      <w:r w:rsidR="000059B7" w:rsidRPr="000059B7">
        <w:rPr>
          <w:rStyle w:val="font4"/>
          <w:b/>
          <w:color w:val="000000"/>
          <w:sz w:val="28"/>
          <w:szCs w:val="28"/>
        </w:rPr>
        <w:t xml:space="preserve">ответчику </w:t>
      </w:r>
      <w:r w:rsidRPr="000059B7">
        <w:rPr>
          <w:rStyle w:val="font4"/>
          <w:b/>
          <w:color w:val="000000"/>
          <w:sz w:val="28"/>
          <w:szCs w:val="28"/>
        </w:rPr>
        <w:t xml:space="preserve"> неположенную выплату</w:t>
      </w:r>
      <w:r w:rsidR="000059B7" w:rsidRPr="000059B7">
        <w:rPr>
          <w:rStyle w:val="font4"/>
          <w:b/>
          <w:color w:val="000000"/>
          <w:sz w:val="28"/>
          <w:szCs w:val="28"/>
        </w:rPr>
        <w:t>,</w:t>
      </w:r>
      <w:r w:rsidR="000059B7">
        <w:rPr>
          <w:rStyle w:val="font4"/>
          <w:b/>
          <w:color w:val="000000"/>
          <w:sz w:val="28"/>
          <w:szCs w:val="28"/>
        </w:rPr>
        <w:t xml:space="preserve"> являю</w:t>
      </w:r>
      <w:r w:rsidR="000059B7" w:rsidRPr="000059B7">
        <w:rPr>
          <w:rStyle w:val="font4"/>
          <w:b/>
          <w:color w:val="000000"/>
          <w:sz w:val="28"/>
          <w:szCs w:val="28"/>
        </w:rPr>
        <w:t>тся неверным</w:t>
      </w:r>
      <w:r w:rsidR="000059B7">
        <w:rPr>
          <w:rStyle w:val="font4"/>
          <w:b/>
          <w:color w:val="000000"/>
          <w:sz w:val="28"/>
          <w:szCs w:val="28"/>
        </w:rPr>
        <w:t>и</w:t>
      </w:r>
      <w:r w:rsidR="000059B7" w:rsidRPr="000059B7">
        <w:rPr>
          <w:rStyle w:val="font4"/>
          <w:b/>
          <w:color w:val="000000"/>
          <w:sz w:val="28"/>
          <w:szCs w:val="28"/>
        </w:rPr>
        <w:t>.</w:t>
      </w:r>
    </w:p>
    <w:p w:rsidR="00067851" w:rsidRPr="00067851" w:rsidRDefault="00067851" w:rsidP="0006785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4"/>
          <w:b/>
          <w:color w:val="000000"/>
          <w:sz w:val="28"/>
          <w:szCs w:val="28"/>
        </w:rPr>
        <w:t>С</w:t>
      </w:r>
      <w:r w:rsidRPr="00067851">
        <w:rPr>
          <w:rStyle w:val="font4"/>
          <w:b/>
          <w:color w:val="000000"/>
          <w:sz w:val="28"/>
          <w:szCs w:val="28"/>
        </w:rPr>
        <w:t>уд не исследовал и не дал оценки документам, в том числе Уставу и Временному порядку, содержащимся в деле и представленным истцом, для решения вопроса о том, пропущен ли истцом срок исковой давности.</w:t>
      </w:r>
    </w:p>
    <w:p w:rsidR="003B1896" w:rsidRDefault="003B1896" w:rsidP="003B1896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</w:p>
    <w:p w:rsidR="00067851" w:rsidRDefault="00067851" w:rsidP="003B1896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</w:p>
    <w:p w:rsidR="00067851" w:rsidRDefault="00295BDD" w:rsidP="003B1896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  <w:r w:rsidRPr="003B1896">
        <w:rPr>
          <w:rStyle w:val="font5"/>
          <w:b/>
          <w:color w:val="000000"/>
          <w:sz w:val="36"/>
          <w:szCs w:val="28"/>
        </w:rPr>
        <w:t xml:space="preserve">ВЕРХОВНЫЙ СУД </w:t>
      </w:r>
    </w:p>
    <w:p w:rsidR="00295BDD" w:rsidRPr="003B1896" w:rsidRDefault="00295BDD" w:rsidP="003B1896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3B1896">
        <w:rPr>
          <w:rStyle w:val="font5"/>
          <w:b/>
          <w:color w:val="000000"/>
          <w:sz w:val="36"/>
          <w:szCs w:val="28"/>
        </w:rPr>
        <w:t>РОССИЙСКОЙ ФЕДЕРАЦИИ</w:t>
      </w:r>
    </w:p>
    <w:p w:rsidR="003B1896" w:rsidRDefault="003B1896" w:rsidP="003B1896">
      <w:pPr>
        <w:pStyle w:val="a3"/>
        <w:spacing w:before="0" w:beforeAutospacing="0" w:after="0" w:afterAutospacing="0"/>
        <w:ind w:firstLine="709"/>
        <w:jc w:val="right"/>
        <w:rPr>
          <w:rStyle w:val="font4"/>
          <w:color w:val="000000"/>
          <w:sz w:val="28"/>
          <w:szCs w:val="28"/>
        </w:rPr>
      </w:pPr>
    </w:p>
    <w:p w:rsidR="00295BDD" w:rsidRPr="00295BDD" w:rsidRDefault="00295BDD" w:rsidP="003B1896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Дело №201-КГ 18-21</w:t>
      </w:r>
    </w:p>
    <w:p w:rsidR="003B1896" w:rsidRDefault="003B1896" w:rsidP="003B1896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295BDD" w:rsidRPr="00295BDD" w:rsidRDefault="00295BDD" w:rsidP="003B189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95BDD">
        <w:rPr>
          <w:rStyle w:val="font3"/>
          <w:color w:val="000000"/>
          <w:sz w:val="28"/>
          <w:szCs w:val="28"/>
        </w:rPr>
        <w:t>ОПРЕДЕЛЕНИЕ</w:t>
      </w:r>
    </w:p>
    <w:p w:rsidR="003B1896" w:rsidRDefault="003B1896" w:rsidP="003B1896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95BDD" w:rsidRPr="00295BDD" w:rsidRDefault="003B1896" w:rsidP="003B189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t>г</w:t>
      </w:r>
      <w:r w:rsidR="00295BDD" w:rsidRPr="00295BDD">
        <w:rPr>
          <w:rStyle w:val="font4"/>
          <w:color w:val="000000"/>
          <w:sz w:val="28"/>
          <w:szCs w:val="28"/>
        </w:rPr>
        <w:t>. Москва</w:t>
      </w:r>
      <w:r w:rsidR="00295BDD" w:rsidRPr="00295BDD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    </w:t>
      </w:r>
      <w:r w:rsidR="00295BDD" w:rsidRPr="00295BDD">
        <w:rPr>
          <w:rStyle w:val="apple-converted-space"/>
          <w:color w:val="000000"/>
          <w:sz w:val="28"/>
          <w:szCs w:val="28"/>
        </w:rPr>
        <w:t> </w:t>
      </w:r>
      <w:r w:rsidR="00295BDD" w:rsidRPr="00295BDD">
        <w:rPr>
          <w:rStyle w:val="font4"/>
          <w:color w:val="000000"/>
          <w:sz w:val="28"/>
          <w:szCs w:val="28"/>
        </w:rPr>
        <w:t>14 июня 2018 г.</w:t>
      </w:r>
    </w:p>
    <w:p w:rsidR="003B1896" w:rsidRDefault="003B1896" w:rsidP="00295BDD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председательствующего Крупнова ИВ</w:t>
      </w:r>
      <w:proofErr w:type="gramStart"/>
      <w:r w:rsidRPr="00295BDD">
        <w:rPr>
          <w:rStyle w:val="font4"/>
          <w:color w:val="000000"/>
          <w:sz w:val="28"/>
          <w:szCs w:val="28"/>
        </w:rPr>
        <w:t>.,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295BDD">
        <w:rPr>
          <w:rStyle w:val="font4"/>
          <w:color w:val="000000"/>
          <w:sz w:val="28"/>
          <w:szCs w:val="28"/>
        </w:rPr>
        <w:t>Сокерина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С.Г.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при секретаре Фомине С.А. рассмотрела в открытом судебном заседании гражданское дело по кассационной жалобе командира войсковой части 61460 на решение Тамбовского гарнизонного военного суда от 20 апреля 2017 г. и апелляционное определение Московского окружного военного суда от 26 октября 2017 г. по иску федерального казенного учреждения «Единый расчётный центр Министерства обороны Российской Федерации» (далее - Единый расчетный центр) к бывшему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военнослужащему войсковой части 61460 сержанту запаса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Александру Борисовичу о взыскании денежных средств.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Заслушав доклад судьи Верховного Суда Российской Федерации Крупнова ИВ, изложившего обстоятельства дела, содержание судебных постановлений, принятых по делу, доводы кассационной жалобы, объяснения представителя Единого расчетного центра Москвитиной И.С. в обоснование доводов кассационной жалобы, Судебная коллегия по делам военнослужащих Верховного Суда Российской Федерации</w:t>
      </w:r>
    </w:p>
    <w:p w:rsidR="003B1896" w:rsidRDefault="003B1896" w:rsidP="003B1896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95BDD" w:rsidRPr="00295BDD" w:rsidRDefault="00295BDD" w:rsidP="003B189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установила:</w:t>
      </w:r>
    </w:p>
    <w:p w:rsidR="003B1896" w:rsidRDefault="003B1896" w:rsidP="00295BDD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 xml:space="preserve">решением Тамбовского гарнизонного военного суда от 20 апреля 2017 г., оставленным без изменения апелляционным определением Московского окружного военного суда от 26 октября 2017 г., отказано в удовлетворении иска представителя Единого расчетного центра о взыскании с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 денежных</w:t>
      </w:r>
      <w:r w:rsidR="003B1896">
        <w:rPr>
          <w:rStyle w:val="font4"/>
          <w:color w:val="000000"/>
          <w:sz w:val="28"/>
          <w:szCs w:val="28"/>
        </w:rPr>
        <w:t xml:space="preserve"> </w:t>
      </w:r>
      <w:r w:rsidRPr="00295BDD">
        <w:rPr>
          <w:rStyle w:val="font4"/>
          <w:color w:val="000000"/>
          <w:sz w:val="28"/>
          <w:szCs w:val="28"/>
        </w:rPr>
        <w:t xml:space="preserve">средств, перечисленных ему в счет обеспечения денежным </w:t>
      </w:r>
      <w:r w:rsidRPr="00295BDD">
        <w:rPr>
          <w:rStyle w:val="font4"/>
          <w:color w:val="000000"/>
          <w:sz w:val="28"/>
          <w:szCs w:val="28"/>
        </w:rPr>
        <w:lastRenderedPageBreak/>
        <w:t>довольствием, в сумме 111904 рубля, в связи с пропуском срока исковой давности.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22 декабря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2017 г. в передаче кассационной жалобы истца для рассмотрения в судебном заседании суда кассационной инстанции отказано.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 xml:space="preserve">В кассационной жалобе командир войсковой части 61460 просит судебные постановления отменить и направить дело на новое рассмотрение в гарнизонный военный суд, указав в обоснование на оставление судами без внимания того обстоятельства, что о необоснованной выплате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 денежных средств за период после исключения его из списков части в связи с увольнением с военной службы стало известно лишь 28 ноября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2014 г. из акта проверки Счетной палаты Российской Федерации, в </w:t>
      </w:r>
      <w:proofErr w:type="gramStart"/>
      <w:r w:rsidRPr="00295BDD">
        <w:rPr>
          <w:rStyle w:val="font4"/>
          <w:color w:val="000000"/>
          <w:sz w:val="28"/>
          <w:szCs w:val="28"/>
        </w:rPr>
        <w:t>связи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с чем при обращении в суд с иском к ответчику 30 ноября 2016 г. срок исковой давности пропущен не был.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24 мая</w:t>
      </w:r>
      <w:r w:rsidR="006E0BE4">
        <w:rPr>
          <w:rStyle w:val="font4"/>
          <w:color w:val="000000"/>
          <w:sz w:val="28"/>
          <w:szCs w:val="28"/>
        </w:rPr>
        <w:t xml:space="preserve"> </w:t>
      </w:r>
      <w:r w:rsidRPr="00295BDD">
        <w:rPr>
          <w:rStyle w:val="font4"/>
          <w:color w:val="000000"/>
          <w:sz w:val="28"/>
          <w:szCs w:val="28"/>
        </w:rPr>
        <w:t>2018  г. кассационная жалоба командира войсковой части 61460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295BDD">
        <w:rPr>
          <w:rStyle w:val="font4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А.Б., проходивший военную службу в войсковой части 61460, приказом командира воинской части от </w:t>
      </w:r>
      <w:r w:rsidR="00EB20EF">
        <w:rPr>
          <w:rStyle w:val="font4"/>
          <w:color w:val="000000"/>
          <w:sz w:val="28"/>
          <w:szCs w:val="28"/>
        </w:rPr>
        <w:br/>
      </w:r>
      <w:r w:rsidRPr="00EB20EF">
        <w:rPr>
          <w:rStyle w:val="font4"/>
          <w:b/>
          <w:color w:val="000000"/>
          <w:sz w:val="28"/>
          <w:szCs w:val="28"/>
        </w:rPr>
        <w:t>7 декабря 2011 г. исключен из списков части</w:t>
      </w:r>
      <w:r w:rsidRPr="00295BDD">
        <w:rPr>
          <w:rStyle w:val="font4"/>
          <w:color w:val="000000"/>
          <w:sz w:val="28"/>
          <w:szCs w:val="28"/>
        </w:rPr>
        <w:t xml:space="preserve"> с указанной даты ввиду увольнения с военной службы в связи с организационно-штатными мероприятиями.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B20EF">
        <w:rPr>
          <w:rStyle w:val="font4"/>
          <w:b/>
          <w:color w:val="000000"/>
          <w:sz w:val="28"/>
          <w:szCs w:val="28"/>
        </w:rPr>
        <w:t>В феврале - июне 2012 года</w:t>
      </w:r>
      <w:r w:rsidRPr="00295BDD">
        <w:rPr>
          <w:rStyle w:val="font4"/>
          <w:color w:val="000000"/>
          <w:sz w:val="28"/>
          <w:szCs w:val="28"/>
        </w:rPr>
        <w:t xml:space="preserve"> Единым расчетным центром на банковскую карту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 были </w:t>
      </w:r>
      <w:r w:rsidRPr="00EB20EF">
        <w:rPr>
          <w:rStyle w:val="font4"/>
          <w:b/>
          <w:color w:val="000000"/>
          <w:sz w:val="28"/>
          <w:szCs w:val="28"/>
        </w:rPr>
        <w:t>зачислены денежные средства в счет обеспечения его денежным довольствием за период с января по май 2012 года</w:t>
      </w:r>
      <w:r w:rsidRPr="00295BDD">
        <w:rPr>
          <w:rStyle w:val="font4"/>
          <w:color w:val="000000"/>
          <w:sz w:val="28"/>
          <w:szCs w:val="28"/>
        </w:rPr>
        <w:t xml:space="preserve"> в размере 111904 рубля: в феврале 2012 года - 51485 рублей, в апреле - 17789 рублей и 21315 рублей, в июне-21315 рублей.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Согласно выписке из акта Счетной палаты Российской Федерации по результатам контрольного мероприятия «Проверка законности, эффективности и целевого использования средств Федерального бюджета, направленных в 2011-2013 годах и истекшем периоде 2014 года на реформирование и функционирование системы финансового обеспечения Вооруженных Сил Российской Федерации» от 28 ноября 2014 г. в бюджетном учете Единого расчетного центра не учтен причиненный государству ущерб в виде сумм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излишне выплаченного денежного довольствия военнослужащим, </w:t>
      </w:r>
      <w:proofErr w:type="gramStart"/>
      <w:r w:rsidRPr="00295BDD">
        <w:rPr>
          <w:rStyle w:val="font4"/>
          <w:color w:val="000000"/>
          <w:sz w:val="28"/>
          <w:szCs w:val="28"/>
        </w:rPr>
        <w:t>допущенный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по причине изменения ранее введенной кадровыми органами информации в специальное программное обеспечение «Алушта».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lastRenderedPageBreak/>
        <w:t xml:space="preserve">Из приложения № 7 к названному акту следует, что сержанту войсковой части 61460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 излишне выплачена сумма в размере 111904 рубля.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Как установлено судом, сведения о военнослужащих, проходящих военную службу по контракту, вносились в специальное программное обеспечение «Алушта» путем электронной передачи данных из управлений (отделов) финансового обеспечения Министерства обороны Российской Федерации с использованием специального конвертера. При передаче данной информации за спорный период сведения о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 переданы Единый расчетный центр как о военнослужащем, проходящем военную службу, в </w:t>
      </w:r>
      <w:proofErr w:type="gramStart"/>
      <w:r w:rsidRPr="00295BDD">
        <w:rPr>
          <w:rStyle w:val="font4"/>
          <w:color w:val="000000"/>
          <w:sz w:val="28"/>
          <w:szCs w:val="28"/>
        </w:rPr>
        <w:t>связи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с чем денежные средства, не причитающиеся ответчику к выплате, были ошибочно перечислены ему по причине неверных первичных параметров, введенных в специальное программное обеспечение «Алушта» при загрузке базы данных.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Отказывая в удовлетворении исковых требований, суд первой инстанции исходил из того, что исчисление срока исковой давности по заявленным исковым требованиям необходимо производить с 6 июня 2012 г., когда Единый расчетный центр последний раз неосновательно перечислил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 неположенную выплату. Поскольку исковое заявление было подано в суд 12 декабря 2016 г., то с момента предполагаемого нарушения прав истца до момента его обращения в суд прошло более 3 лет, а уважительных причин пропуска срока исковой давности истцом не приведено и судом не установлено. С данными выводами согласился суд апелляционной инстанции.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Между тем такие выводы судов основаны на неправильном применении и толковании норм материального права и сделаны с нарушением норм процессуального права.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В соответствии с п. 1 ст. 196 ГК РФ общий срок исковой давности составляет три года со дня, определяемого в соответствии со ст. 200 этого кодекса.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Исковая давность в силу п. 2 ст. 199 ГК РФ применяется судом только по заявлению стороны в споре, сделанному до вынесения судом решения, а истечение срока исковой давности, о применении которой заявлено стороной в споре, является основанием к вынесению судом решения об отказе в иске.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Согласно п. 1 ст. 200 ГК РФ,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Из приведенных положений закона следует, что для разрешения вопроса об исчислении срока исковой давности, о применении которого заявлено ответчиком, суду необходимо установить начальный момент течения данного срока, то есть день, когда лицо узнало или должно было узнать о нарушении своего права.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 xml:space="preserve">С 1 января 2012 г. обеспечение денежным довольствием и иными выплатами, предусмотренными Федеральным законом от 7 ноября 2011 г. № 306-ФЗ «О денежном довольствии военнослужащих и предоставлении им отдельных выплат», производится в порядке, предусмотренном приказом </w:t>
      </w:r>
      <w:r w:rsidRPr="00295BDD">
        <w:rPr>
          <w:rStyle w:val="font4"/>
          <w:color w:val="000000"/>
          <w:sz w:val="28"/>
          <w:szCs w:val="28"/>
        </w:rPr>
        <w:lastRenderedPageBreak/>
        <w:t>Министра обороны Российской Федерации от 30 декабря 2011 г. № 2700 «Об утверждении Порядка обеспечения денежным довольствием военнослужащих Вооруженных Сил Российской Федерации».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В силу абзацев четвертого и пятого п. 2 названного Порядка денежное довольствие военнослужащим оплачивается по месту их военной службы либо перечисляется на указанный военнослужащим счет в банке на условиях, определенных в Министерстве обороны Российской Федерации; по решению Министра обороны Российской Федерации денежное довольствие может выплачиваться через Федеральное казенное учреждение «Единый расчетный центр Минобороны России» или иные финансово-экономические органы.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 xml:space="preserve">Как следует из </w:t>
      </w:r>
      <w:proofErr w:type="spellStart"/>
      <w:r w:rsidRPr="00295BDD">
        <w:rPr>
          <w:rStyle w:val="font4"/>
          <w:color w:val="000000"/>
          <w:sz w:val="28"/>
          <w:szCs w:val="28"/>
        </w:rPr>
        <w:t>пп</w:t>
      </w:r>
      <w:proofErr w:type="spellEnd"/>
      <w:r w:rsidRPr="00295BDD">
        <w:rPr>
          <w:rStyle w:val="font4"/>
          <w:color w:val="000000"/>
          <w:sz w:val="28"/>
          <w:szCs w:val="28"/>
        </w:rPr>
        <w:t>. 8 и 19 Устава Единого расчетного центра (далее - Устав), учреждение осуществляет операции по расходованию бюджетных средств в соответствии с бюджетной сметой, утвержденной в установленном порядке главным распорядителем бюджетных средств; осуществляет определение потребностей в бюджетных ассигнованиях на обеспечение личного состава денежным довольствием, заработной платой и другими установленными выплатами;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295BDD">
        <w:rPr>
          <w:rStyle w:val="font4"/>
          <w:color w:val="000000"/>
          <w:sz w:val="28"/>
          <w:szCs w:val="28"/>
        </w:rPr>
        <w:t>своевременно начисляет и обеспечивает личный состав указанными выплатами путем зачисления на лицевые счета в банках, банковские карты либо иным, установленным в Министерстве обороны Российской Федерации порядком; своевременно проводит расчеты, в том числе с бюджетами бюджетной системы Российской Федерации и государственными внебюджетными фондами, составляет и предоставляет отчетность; использует программно-технические средства.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Кроме того, в соответствии с Временным порядком взаимодействия органов военного управления в ходе работ по обеспечению денежного довольствия, заработной платы в Федеральном казенном учреждении «Единый расчетный центр Минобороны России», утвержденным Министром обороны Российской Федерации 27 июля 2011 г. (далее - Временный порядок) Единый расчетный центр проводит выгрузку и проведение конвертации существующих в управлениях (отделах) финансового обеспечения Минобороны России баз данных по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начислению денежного довольствия военнослужащим и заработной платы гражданскому персоналу с использованием специального конвертера; формирует единую базу данных с использованием программных изделий, разработанных в рамках опытно-конструкторской работы «Алушта», путем загрузки </w:t>
      </w:r>
      <w:proofErr w:type="spellStart"/>
      <w:r w:rsidRPr="00295BDD">
        <w:rPr>
          <w:rStyle w:val="font4"/>
          <w:color w:val="000000"/>
          <w:sz w:val="28"/>
          <w:szCs w:val="28"/>
        </w:rPr>
        <w:t>сконвертированных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данных.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Во Временном порядке определены границы ответственности Главного управления кадров Минобороны России при взаимодействии с органами военного управления в целях функционирования Единого расчетного центра. К ним, в частности, относятся: подготовка проектов приказов Министра обороны Российской Федерации, начальника Генерального штаба Вооруженных Сил Российской Федерации, статс-секретаря - заместителя Министра обороны Российской Федерации по назначению, освобождению от воинских должностей, зачислению в распоряжение и увольнению с военной службы офицеров от командира батальона и выше; внесение в базу данных по линии ответственности со своих рабочих мест, оборудованных специальным </w:t>
      </w:r>
      <w:r w:rsidRPr="00295BDD">
        <w:rPr>
          <w:rStyle w:val="font4"/>
          <w:color w:val="000000"/>
          <w:sz w:val="28"/>
          <w:szCs w:val="28"/>
        </w:rPr>
        <w:lastRenderedPageBreak/>
        <w:t>программным обеспечением, в полном объеме изданных приказов, а также сведений по офицерам и военнослужащим, проходящим военную службу по контракту.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Из Устава и Временного порядка следует, что Единый расчетный центр осуществляет централизованный своевременный расчет денежного довольствия и</w:t>
      </w:r>
      <w:r w:rsidR="00636581">
        <w:rPr>
          <w:rStyle w:val="font4"/>
          <w:color w:val="000000"/>
          <w:sz w:val="28"/>
          <w:szCs w:val="28"/>
        </w:rPr>
        <w:t xml:space="preserve"> </w:t>
      </w:r>
      <w:r w:rsidRPr="00295BDD">
        <w:rPr>
          <w:rStyle w:val="font4"/>
          <w:color w:val="000000"/>
          <w:sz w:val="28"/>
          <w:szCs w:val="28"/>
        </w:rPr>
        <w:t>заработной платы на основании сведений, внесенных сотрудниками Главного управления кадров Минобороны России в единую базу данных; приказы по личному составу и строевой части в Единый расчетный центр не поступают, и самостоятельного права на внесение изменений в базу данных при исчислении денежного довольствия это учреждение не имеет.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Пунктами 1 и 8 ст. 5 Федерального закона от 5 апреля 2013 г. № 41-ФЗ «О Счетной палате Российской Федерации» (далее - Федеральный закон «О Счетной палате Российской Федерации») определено, что задачами Счетной палаты Российской </w:t>
      </w:r>
      <w:proofErr w:type="gramStart"/>
      <w:r w:rsidRPr="00295BDD">
        <w:rPr>
          <w:rStyle w:val="font4"/>
          <w:color w:val="000000"/>
          <w:sz w:val="28"/>
          <w:szCs w:val="28"/>
        </w:rPr>
        <w:t>Федерации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в том числе являются организация и осуществление контроля за целевым и эффективным использованием средств федерального бюджета.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Согласно п. 1 ч. 1 ст. 13 и ч. 1 ст. 26 Федерального закона «О Счетной палате Российской Федерации» в рамках выполнения своих задач Счетная палата Российской Федерации осуществляет, в частности, функции внешнего государственного финансового контроля в сфере бюджетных правоотношений, а при выявлении в ходе контрольных мероприятий нарушений в хозяйственной, финансовой, коммерческой и иной деятельности объектов аудита (контроля), наносящих ущерб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295BDD">
        <w:rPr>
          <w:rStyle w:val="font4"/>
          <w:color w:val="000000"/>
          <w:sz w:val="28"/>
          <w:szCs w:val="28"/>
        </w:rPr>
        <w:t>государству и требующих в связи с этим безотлагательного пресечения, при создании препятствий для проведения контрольных и экспертно-аналитических мероприятий, а также по результатам проведенных контрольных мероприятий Счетная палата Российской Федерации вправе направить руководителям объектов аудита (контроля) представления для принятия мер по устранению выявленных недостатков и нарушений, возмещению причиненного государству ущерба и привлечению к ответственности лиц, виновных в нарушении законодательства Российской Федерации.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Судом установлено, что основанием для подачи Единым расчетным центром иска послужили результаты проверки, проведенной Счетной палатой Российской Федерации, по окончании которой составлен акт от 28 ноября 2014 г., содержащий сведения о том, что в бюджетном учете Федеральное казенное учреждение «Единый расчетный центр Минобороны России» не учтен причиненный государству ущерб в виде сумм излишне выплаченного денежного довольствия военнослужащим, допущенный по причине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изменения ранее введенной кадровыми органами информации в специальное программное обеспечение «Алушта», в частности сержанту войсковой части 61460 </w:t>
      </w:r>
      <w:proofErr w:type="spellStart"/>
      <w:r w:rsidRPr="00295BDD">
        <w:rPr>
          <w:rStyle w:val="font4"/>
          <w:color w:val="000000"/>
          <w:sz w:val="28"/>
          <w:szCs w:val="28"/>
        </w:rPr>
        <w:t>Дудченко</w:t>
      </w:r>
      <w:proofErr w:type="spellEnd"/>
      <w:r w:rsidRPr="00295BDD">
        <w:rPr>
          <w:rStyle w:val="font4"/>
          <w:color w:val="000000"/>
          <w:sz w:val="28"/>
          <w:szCs w:val="28"/>
        </w:rPr>
        <w:t xml:space="preserve"> А.Б., уволенному со службы, выплачена сумма 111904 рубля.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В силу ч. 2 ст. 56 ГПК РФ суд определяет, какие обстоятельства имеют значение для дела, какой стороне надлежит их доказывать, выносит обстоятельства на обсуждение, даже если стороны на какие-либо из них не ссылались.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lastRenderedPageBreak/>
        <w:t xml:space="preserve">В соответствии с ч. 1 ст. 196 ГПК РФ при принятии решения суд оценивает доказательства, определяет, какие обстоятельства, имеющие значение для рассмотрения дела, </w:t>
      </w:r>
      <w:proofErr w:type="gramStart"/>
      <w:r w:rsidRPr="00295BDD">
        <w:rPr>
          <w:rStyle w:val="font4"/>
          <w:color w:val="000000"/>
          <w:sz w:val="28"/>
          <w:szCs w:val="28"/>
        </w:rPr>
        <w:t>установлены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и какие обстоятельства не установлены, каковы правоотношения сторон, какой закон должен быть применён по данному делу и подлежит ли иск удовлетворению.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Между тем в данном деле суд в нарушение приведенных норм ГПК РФ не определил юридически значимые для установления начала течения срока исковой</w:t>
      </w:r>
      <w:r w:rsidR="00636581">
        <w:rPr>
          <w:rStyle w:val="font4"/>
          <w:color w:val="000000"/>
          <w:sz w:val="28"/>
          <w:szCs w:val="28"/>
        </w:rPr>
        <w:t xml:space="preserve"> </w:t>
      </w:r>
      <w:r w:rsidRPr="00295BDD">
        <w:rPr>
          <w:rStyle w:val="font4"/>
          <w:color w:val="000000"/>
          <w:sz w:val="28"/>
          <w:szCs w:val="28"/>
        </w:rPr>
        <w:t>давности обстоятельства, а именно: могла ли быть выявлена Единым расчетным центром необоснованность выплаты денежных средств ответчику до проверки, проведенной Счетной палатой Российской Федерации в 2014 году, или нет, и не устанавливал их на основании представленных сторонами доказательств.</w:t>
      </w:r>
      <w:proofErr w:type="gramEnd"/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В частности, суд не исследовал и не дал оценки документам, в том числе Уставу и Временному порядку, содержащимся в деле и представленным истцом, для решения вопроса о том, пропущен ли истцом срок исковой давности.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95BDD">
        <w:rPr>
          <w:rStyle w:val="font4"/>
          <w:color w:val="000000"/>
          <w:sz w:val="28"/>
          <w:szCs w:val="28"/>
        </w:rPr>
        <w:t>С учетом изложенного Судебная коллегия находит вывод суда об отказе в удовлетворении исковых требований Единого расчетного центра в связи с пропуском им срока исковой давности основанным на неправильном применении норм материального права, а также сделанным с существенными нарушениями норм процессуального права, повлиявшими на исход дела, что в силу ст. 387 ГПК РФ является основанием для отмены обжалуемых судебных постановлений и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направления дела на новое рассмотрение в суд первой инстанции.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 xml:space="preserve">При новом рассмотрении дела суду следует учесть </w:t>
      </w:r>
      <w:proofErr w:type="gramStart"/>
      <w:r w:rsidRPr="00295BDD">
        <w:rPr>
          <w:rStyle w:val="font4"/>
          <w:color w:val="000000"/>
          <w:sz w:val="28"/>
          <w:szCs w:val="28"/>
        </w:rPr>
        <w:t>изложенное</w:t>
      </w:r>
      <w:proofErr w:type="gramEnd"/>
      <w:r w:rsidRPr="00295BDD">
        <w:rPr>
          <w:rStyle w:val="font4"/>
          <w:color w:val="000000"/>
          <w:sz w:val="28"/>
          <w:szCs w:val="28"/>
        </w:rPr>
        <w:t xml:space="preserve"> и разрешить возникший спор в соответствии с подлежащими применению к спорным отношениям нормами материального права, требованиями процессуального закона и установленными по делу обстоятельствами.</w:t>
      </w: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На основании изложенного, руководствуясь ст. 386-388, п. 2 ч. 1 ст. 390 ГПК РФ, Судебная коллегия по делам военнослужащих Верховного Суда Российской Федерации,</w:t>
      </w:r>
    </w:p>
    <w:p w:rsidR="004B1955" w:rsidRDefault="004B1955" w:rsidP="004B195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95BDD" w:rsidRDefault="00295BDD" w:rsidP="004B1955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295BDD">
        <w:rPr>
          <w:rStyle w:val="font2"/>
          <w:color w:val="000000"/>
          <w:sz w:val="28"/>
          <w:szCs w:val="28"/>
        </w:rPr>
        <w:t>определила:</w:t>
      </w:r>
    </w:p>
    <w:p w:rsidR="004B1955" w:rsidRPr="00295BDD" w:rsidRDefault="004B1955" w:rsidP="004B1955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95BDD" w:rsidRPr="00295BDD" w:rsidRDefault="00295BDD" w:rsidP="00295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решение Тамбовского гарнизонного военного суда от 20 апреля 2017 г. и апелляционное определение Московского окружного военного суда от 26 октября 2017 г. отменить, направить дело на новое рассмотрение в Тамбовский гарнизонный военный суд.</w:t>
      </w:r>
    </w:p>
    <w:p w:rsidR="004B1955" w:rsidRDefault="004B1955" w:rsidP="004B1955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95BDD" w:rsidRPr="00295BDD" w:rsidRDefault="00295BDD" w:rsidP="004B195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Председательствующий</w:t>
      </w:r>
    </w:p>
    <w:p w:rsidR="004B1955" w:rsidRDefault="004B1955" w:rsidP="004B1955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95BDD" w:rsidRPr="00295BDD" w:rsidRDefault="00295BDD" w:rsidP="004B195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95BDD">
        <w:rPr>
          <w:rStyle w:val="font4"/>
          <w:color w:val="000000"/>
          <w:sz w:val="28"/>
          <w:szCs w:val="28"/>
        </w:rPr>
        <w:t>Судьи:</w:t>
      </w:r>
    </w:p>
    <w:sectPr w:rsidR="00295BDD" w:rsidRPr="00295BDD" w:rsidSect="00295BDD">
      <w:headerReference w:type="default" r:id="rId6"/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4A8" w:rsidRDefault="00B024A8" w:rsidP="00B024A8">
      <w:pPr>
        <w:spacing w:after="0" w:line="240" w:lineRule="auto"/>
      </w:pPr>
      <w:r>
        <w:separator/>
      </w:r>
    </w:p>
  </w:endnote>
  <w:endnote w:type="continuationSeparator" w:id="1">
    <w:p w:rsidR="00B024A8" w:rsidRDefault="00B024A8" w:rsidP="00B0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4A8" w:rsidRDefault="00B024A8" w:rsidP="00B024A8">
      <w:pPr>
        <w:spacing w:after="0" w:line="240" w:lineRule="auto"/>
      </w:pPr>
      <w:r>
        <w:separator/>
      </w:r>
    </w:p>
  </w:footnote>
  <w:footnote w:type="continuationSeparator" w:id="1">
    <w:p w:rsidR="00B024A8" w:rsidRDefault="00B024A8" w:rsidP="00B02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24A8" w:rsidRDefault="00B024A8">
    <w:pPr>
      <w:pStyle w:val="a4"/>
    </w:pPr>
  </w:p>
  <w:p w:rsidR="00B024A8" w:rsidRDefault="00B024A8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5BDD"/>
    <w:rsid w:val="000059B7"/>
    <w:rsid w:val="00035AB3"/>
    <w:rsid w:val="0004799F"/>
    <w:rsid w:val="00067851"/>
    <w:rsid w:val="000F188A"/>
    <w:rsid w:val="00207782"/>
    <w:rsid w:val="00295BDD"/>
    <w:rsid w:val="00302472"/>
    <w:rsid w:val="003134B4"/>
    <w:rsid w:val="003B1896"/>
    <w:rsid w:val="004B1955"/>
    <w:rsid w:val="00636581"/>
    <w:rsid w:val="006E0BE4"/>
    <w:rsid w:val="00755C3E"/>
    <w:rsid w:val="007A1DB1"/>
    <w:rsid w:val="00894DBC"/>
    <w:rsid w:val="009F2ADB"/>
    <w:rsid w:val="00B024A8"/>
    <w:rsid w:val="00DE1C7C"/>
    <w:rsid w:val="00EB20E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95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295BDD"/>
  </w:style>
  <w:style w:type="character" w:customStyle="1" w:styleId="font4">
    <w:name w:val="font4"/>
    <w:basedOn w:val="a0"/>
    <w:rsid w:val="00295BDD"/>
  </w:style>
  <w:style w:type="character" w:customStyle="1" w:styleId="font3">
    <w:name w:val="font3"/>
    <w:basedOn w:val="a0"/>
    <w:rsid w:val="00295BDD"/>
  </w:style>
  <w:style w:type="character" w:customStyle="1" w:styleId="font1">
    <w:name w:val="font1"/>
    <w:basedOn w:val="a0"/>
    <w:rsid w:val="00295BDD"/>
  </w:style>
  <w:style w:type="character" w:customStyle="1" w:styleId="apple-converted-space">
    <w:name w:val="apple-converted-space"/>
    <w:basedOn w:val="a0"/>
    <w:rsid w:val="00295BDD"/>
  </w:style>
  <w:style w:type="character" w:customStyle="1" w:styleId="font0">
    <w:name w:val="font0"/>
    <w:basedOn w:val="a0"/>
    <w:rsid w:val="00295BDD"/>
  </w:style>
  <w:style w:type="character" w:customStyle="1" w:styleId="font2">
    <w:name w:val="font2"/>
    <w:basedOn w:val="a0"/>
    <w:rsid w:val="00295BDD"/>
  </w:style>
  <w:style w:type="paragraph" w:styleId="a4">
    <w:name w:val="header"/>
    <w:basedOn w:val="a"/>
    <w:link w:val="a5"/>
    <w:uiPriority w:val="99"/>
    <w:semiHidden/>
    <w:unhideWhenUsed/>
    <w:rsid w:val="00B02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024A8"/>
  </w:style>
  <w:style w:type="paragraph" w:styleId="a6">
    <w:name w:val="footer"/>
    <w:basedOn w:val="a"/>
    <w:link w:val="a7"/>
    <w:uiPriority w:val="99"/>
    <w:semiHidden/>
    <w:unhideWhenUsed/>
    <w:rsid w:val="00B02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B024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9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2330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2018-06-18T14:26:00Z</dcterms:created>
  <dcterms:modified xsi:type="dcterms:W3CDTF">2018-06-18T14:37:00Z</dcterms:modified>
</cp:coreProperties>
</file>