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2AE" w:rsidRDefault="006552AE" w:rsidP="002D3323">
      <w:pPr>
        <w:pStyle w:val="Default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50. В случае</w:t>
      </w:r>
      <w:proofErr w:type="gramStart"/>
      <w:r>
        <w:rPr>
          <w:b/>
          <w:bCs/>
          <w:sz w:val="28"/>
          <w:szCs w:val="28"/>
        </w:rPr>
        <w:t>,</w:t>
      </w:r>
      <w:proofErr w:type="gramEnd"/>
      <w:r>
        <w:rPr>
          <w:b/>
          <w:bCs/>
          <w:sz w:val="28"/>
          <w:szCs w:val="28"/>
        </w:rPr>
        <w:t xml:space="preserve"> если на стадии принятия административного искового заявления к производству суда будет установлено, что заявление не подлежит рассмотрению и разрешению в порядке административного судопроизводства, поскольку рассматривается и разрешается в порядке гражданского судопроизводства, судье следует самостоятельно передать такое заявление для рассмотрения и разрешения в порядке гражданского судопроизводства, если не имеется иных препятствий для рассмотрения этого заявления в том же суде в ином судебном порядке. </w:t>
      </w:r>
    </w:p>
    <w:p w:rsidR="002D3323" w:rsidRDefault="006552AE" w:rsidP="002D3323">
      <w:pPr>
        <w:pStyle w:val="Default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Г. обратился в суд с административным исковым заявлением к органу местного самоуправления о признании незаконными действий по подготовке, организации и проведению аукциона на право заключения договора аренды земельного участка, признании отсутствующим зарегистрированного в пользу другого лица ограничения (обременения) в виде аренды в отношении земельного участка, возложении обязанности подготовить проект договора аренды земельного участка и направить проект это</w:t>
      </w:r>
      <w:r w:rsidR="002D3323">
        <w:rPr>
          <w:sz w:val="28"/>
          <w:szCs w:val="28"/>
        </w:rPr>
        <w:t xml:space="preserve">го договора для подписания. </w:t>
      </w:r>
      <w:proofErr w:type="gramEnd"/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Определением судьи суда первой инстанции, оставленным без изменения судом апелляционной инстанции, в принятии административного искового заявления отказано. </w:t>
      </w:r>
      <w:proofErr w:type="gramStart"/>
      <w:r>
        <w:rPr>
          <w:color w:val="auto"/>
          <w:sz w:val="28"/>
          <w:szCs w:val="28"/>
        </w:rPr>
        <w:t>При этом судья исходил из того, что административное исковое заявление не подлежит рассмотрению и разрешению судом в порядке административного судопроизводства, поскольку из содержания этого заявления следует, что имеет место спор о праве на предоставление земельного участка, так как Г. фактически ставит вопрос о наличии либо об отсутствии у него субъективного гражданского права на предоставление в аренду земельного участка, который ранее</w:t>
      </w:r>
      <w:proofErr w:type="gramEnd"/>
      <w:r>
        <w:rPr>
          <w:color w:val="auto"/>
          <w:sz w:val="28"/>
          <w:szCs w:val="28"/>
        </w:rPr>
        <w:t xml:space="preserve"> был предоставлен в аренду иному лицу.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Судебная коллегия по административным делам Верховного Суда Российской Федерации отменила указанные судебные акты и направила материал по административному исковому заявлению Г. </w:t>
      </w:r>
      <w:proofErr w:type="gramStart"/>
      <w:r>
        <w:rPr>
          <w:color w:val="auto"/>
          <w:sz w:val="28"/>
          <w:szCs w:val="28"/>
        </w:rPr>
        <w:t>в суд первой инстанции для рассмотрения вопроса о принятии этого заявления к производству суда по следующим основаниям</w:t>
      </w:r>
      <w:proofErr w:type="gramEnd"/>
      <w:r>
        <w:rPr>
          <w:color w:val="auto"/>
          <w:sz w:val="28"/>
          <w:szCs w:val="28"/>
        </w:rPr>
        <w:t xml:space="preserve">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Так, Судебная коллегия указала, что судье следовало принять решение о передаче данного заявления для рассмотрения в порядке гражданского судопроизводства, учитывая, что правильное определение судами вида судопроизводства, в котором подлежат защите права и свободы гражданина или организации, зависит от характера правоотношений, из которых вытекает требование лица, обратившегося за судебной защитой, а не от избранной им формы обращения в суд (подача заявления</w:t>
      </w:r>
      <w:proofErr w:type="gramEnd"/>
      <w:r>
        <w:rPr>
          <w:color w:val="auto"/>
          <w:sz w:val="28"/>
          <w:szCs w:val="28"/>
        </w:rPr>
        <w:t xml:space="preserve"> в порядке административного судопроизводства или гражданского судопроизводства).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1 ст. 127 КАС РФ вопрос о принятии административного искового заявления к производству суда рассматривается судьей единолично в течение трех дней со дня поступления административного искового заявления в суд, если иной срок не предусмотрен названным кодексом.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Вопрос о принятии искового заявления, поступившего в суд в порядке гражданского судопроизводства, также рассматривается единолично судьей, который в течение пяти дней со дня его поступления в суд обязан рассмотреть вопрос о его принятии к производству суда путем вынесения соответствующего определения (ст. 133 ГПК РФ).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Именно на стадии принятия заявления к производству суда определяется характер спорных правоотношений и процессуальный закон, подлежащий применению, поскольку от этого зависят правила судопроизводства, в том числе распределение между сторонами судебного процесса бремени доказывания. </w:t>
      </w:r>
    </w:p>
    <w:p w:rsidR="002D3323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Таким образом, вид судоп</w:t>
      </w:r>
      <w:r w:rsidR="002D3323">
        <w:rPr>
          <w:color w:val="auto"/>
          <w:sz w:val="28"/>
          <w:szCs w:val="28"/>
        </w:rPr>
        <w:t xml:space="preserve">роизводства определяет суд.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связи с этим судье при наличии оснований полагать, что заявление Г. не подлежит рассмотрению и разрешению в порядке административного судопроизводства, следовало передать данное заявление для рассмотрения в порядке гражданского судопроизводства, если не имелось иных препятствий для рассмотрения этого заявления в том же суде в ином судебном порядке.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Такое процессуальное решение согласуется с правовой позицией Конституционного Суда Российской Федерации, выраженной в постановлении от 11 ноября 2014 г. № 28-П, о том, что институциональные и процедурные условия осуществления права на доступ к механизмам правосудия должны не только предотвращать неоправданные задержки при рассмотрении дел, но и отвечать требованиям процессуальной эффективности, экономии в использовании средств судебной защиты и тем самым обеспечивать справедливость</w:t>
      </w:r>
      <w:proofErr w:type="gramEnd"/>
      <w:r>
        <w:rPr>
          <w:color w:val="auto"/>
          <w:sz w:val="28"/>
          <w:szCs w:val="28"/>
        </w:rPr>
        <w:t xml:space="preserve"> судебного решения.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На основании </w:t>
      </w:r>
      <w:proofErr w:type="gramStart"/>
      <w:r>
        <w:rPr>
          <w:color w:val="auto"/>
          <w:sz w:val="28"/>
          <w:szCs w:val="28"/>
        </w:rPr>
        <w:t>изложенного</w:t>
      </w:r>
      <w:proofErr w:type="gramEnd"/>
      <w:r>
        <w:rPr>
          <w:color w:val="auto"/>
          <w:sz w:val="28"/>
          <w:szCs w:val="28"/>
        </w:rPr>
        <w:t xml:space="preserve"> Судебная коллегия по административным делам пришла к выводу о незаконности названных судебных актов. </w:t>
      </w:r>
    </w:p>
    <w:p w:rsidR="00755C3E" w:rsidRDefault="006552AE" w:rsidP="002D3323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Определение № 39-КА19-1</w:t>
      </w:r>
    </w:p>
    <w:p w:rsidR="00E04BA3" w:rsidRDefault="00E04BA3" w:rsidP="00E04BA3">
      <w:pPr>
        <w:pStyle w:val="Default"/>
      </w:pPr>
    </w:p>
    <w:p w:rsidR="00E04BA3" w:rsidRDefault="00E04BA3" w:rsidP="00E04BA3">
      <w:pPr>
        <w:pStyle w:val="Default"/>
        <w:rPr>
          <w:sz w:val="28"/>
          <w:szCs w:val="28"/>
        </w:rPr>
      </w:pPr>
      <w:r>
        <w:t xml:space="preserve"> </w:t>
      </w:r>
    </w:p>
    <w:p w:rsidR="00E04BA3" w:rsidRPr="0065426A" w:rsidRDefault="0065426A" w:rsidP="0065426A">
      <w:pPr>
        <w:pStyle w:val="Default"/>
        <w:jc w:val="center"/>
        <w:rPr>
          <w:bCs/>
          <w:i/>
          <w:sz w:val="28"/>
          <w:szCs w:val="28"/>
        </w:rPr>
      </w:pPr>
      <w:r w:rsidRPr="0065426A">
        <w:rPr>
          <w:bCs/>
          <w:i/>
          <w:sz w:val="28"/>
          <w:szCs w:val="28"/>
        </w:rPr>
        <w:t xml:space="preserve">Обзор судебной практики Верховного суда российской федерации </w:t>
      </w:r>
      <w:r w:rsidR="00E04BA3" w:rsidRPr="0065426A">
        <w:rPr>
          <w:bCs/>
          <w:i/>
          <w:sz w:val="28"/>
          <w:szCs w:val="28"/>
        </w:rPr>
        <w:t>№ 2 (2019)</w:t>
      </w:r>
      <w:r>
        <w:rPr>
          <w:bCs/>
          <w:i/>
          <w:sz w:val="28"/>
          <w:szCs w:val="28"/>
        </w:rPr>
        <w:t>.</w:t>
      </w:r>
    </w:p>
    <w:p w:rsidR="0065426A" w:rsidRDefault="0065426A" w:rsidP="0065426A">
      <w:pPr>
        <w:pStyle w:val="Default"/>
        <w:jc w:val="center"/>
        <w:rPr>
          <w:bCs/>
          <w:i/>
          <w:sz w:val="28"/>
          <w:szCs w:val="28"/>
        </w:rPr>
      </w:pPr>
      <w:proofErr w:type="gramStart"/>
      <w:r w:rsidRPr="0065426A">
        <w:rPr>
          <w:bCs/>
          <w:i/>
          <w:sz w:val="28"/>
          <w:szCs w:val="28"/>
        </w:rPr>
        <w:t>Утвержден</w:t>
      </w:r>
      <w:proofErr w:type="gramEnd"/>
      <w:r w:rsidRPr="0065426A">
        <w:rPr>
          <w:bCs/>
          <w:i/>
          <w:sz w:val="28"/>
          <w:szCs w:val="28"/>
        </w:rPr>
        <w:t xml:space="preserve"> Президиумом </w:t>
      </w:r>
      <w:r>
        <w:rPr>
          <w:bCs/>
          <w:i/>
          <w:sz w:val="28"/>
          <w:szCs w:val="28"/>
        </w:rPr>
        <w:t>В</w:t>
      </w:r>
      <w:r w:rsidRPr="0065426A">
        <w:rPr>
          <w:bCs/>
          <w:i/>
          <w:sz w:val="28"/>
          <w:szCs w:val="28"/>
        </w:rPr>
        <w:t xml:space="preserve">ерховного </w:t>
      </w:r>
      <w:r>
        <w:rPr>
          <w:bCs/>
          <w:i/>
          <w:sz w:val="28"/>
          <w:szCs w:val="28"/>
        </w:rPr>
        <w:t>С</w:t>
      </w:r>
      <w:r w:rsidRPr="0065426A">
        <w:rPr>
          <w:bCs/>
          <w:i/>
          <w:sz w:val="28"/>
          <w:szCs w:val="28"/>
        </w:rPr>
        <w:t xml:space="preserve">уда </w:t>
      </w:r>
      <w:r>
        <w:rPr>
          <w:bCs/>
          <w:i/>
          <w:sz w:val="28"/>
          <w:szCs w:val="28"/>
        </w:rPr>
        <w:t>Российской федерации</w:t>
      </w:r>
    </w:p>
    <w:p w:rsidR="00E04BA3" w:rsidRPr="0065426A" w:rsidRDefault="00E04BA3" w:rsidP="0065426A">
      <w:pPr>
        <w:pStyle w:val="Default"/>
        <w:jc w:val="center"/>
        <w:rPr>
          <w:i/>
          <w:sz w:val="28"/>
          <w:szCs w:val="28"/>
        </w:rPr>
      </w:pPr>
      <w:r w:rsidRPr="0065426A">
        <w:rPr>
          <w:bCs/>
          <w:i/>
          <w:sz w:val="28"/>
          <w:szCs w:val="28"/>
        </w:rPr>
        <w:t>17 июля 2019 г.</w:t>
      </w:r>
    </w:p>
    <w:p w:rsidR="00E04BA3" w:rsidRDefault="00E04BA3" w:rsidP="00E04BA3"/>
    <w:sectPr w:rsidR="00E04BA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/>
  <w:rsids>
    <w:rsidRoot w:val="006552AE"/>
    <w:rsid w:val="00035AB3"/>
    <w:rsid w:val="0004799F"/>
    <w:rsid w:val="000F188A"/>
    <w:rsid w:val="00123C27"/>
    <w:rsid w:val="0020632B"/>
    <w:rsid w:val="00207782"/>
    <w:rsid w:val="002B6515"/>
    <w:rsid w:val="002D3323"/>
    <w:rsid w:val="00302472"/>
    <w:rsid w:val="00365A97"/>
    <w:rsid w:val="0058178B"/>
    <w:rsid w:val="0065426A"/>
    <w:rsid w:val="006552AE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04BA3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552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2019-07-24T14:15:00Z</dcterms:created>
  <dcterms:modified xsi:type="dcterms:W3CDTF">2019-07-24T14:15:00Z</dcterms:modified>
</cp:coreProperties>
</file>