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сильевой Елены Серг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Васильева Елена Серге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