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Ермилова Данилы Евгеньевича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Построение онтологии
нейрофизиологических
маркеров психиатрических
расстройств на основе
автоматического анализа
научных публикаций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Ермилова Данилы Евгеньевича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д.филос.н.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профессор кафедры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Бочаров Андрей Викторович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к.б.н., старший преподаватель кафедры фундаментальной и прикладной лингвистики ГИ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Ермилов Данила Евгеньевич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