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Климюка Игоря Олеговича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19202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Разработка ПО абонентского устройства 5G на базе проекта SrsRAN 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Дроздова Вера Геннадьевна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к.т.н.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Дроздова Вера Геннадьевна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доцент, к.т.н.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