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Кобцев Михаил Сергеевич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Анализ эмоций человека на основе видео с использованием нейронных сетей и семантических моделей 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