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Пашенцева Марата Андреевича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интеллектуального помощника по правильному питанию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Пашенцева Марата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Пашенцев Марат Андреевич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