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Дементьевой Татьяны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Автоматизированные методы извлечения эмоций из текстов русского языка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