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Радеев Никита Андреевич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21224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алгоритма конструирования признаков для табличных данных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