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Радеева Никиты Андреевича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алгоритма конструирования признаков для табличных данных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Радеева Никиты Андреевича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Бондаренко Иван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научный сотрудник,
Лаборатория прикладных
цифровых технологий
ММЦ ММФ НГУ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Радеев Никита Андреевич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