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41.png" ContentType="image/png"/>
  <Override PartName="/word/media/rId50.png" ContentType="image/png"/>
  <Override PartName="/word/media/rId60.png" ContentType="image/png"/>
  <Override PartName="/word/media/rId69.png" ContentType="image/png"/>
  <Override PartName="/word/media/rId8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o="urn:schemas-microsoft-com:office:office" xmlns:pic="http://schemas.openxmlformats.org/drawingml/2006/picture" xmlns:r="http://schemas.openxmlformats.org/officeDocument/2006/relationships" xmlns:v="urn:schemas-microsoft-com:vml" xmlns:w="http://schemas.openxmlformats.org/wordprocessingml/2006/main" xmlns:wp="http://schemas.openxmlformats.org/drawingml/2006/wordprocessingDrawing">
  <w:body>
    <w:p>
      <w:pPr>
        <w:pStyle w:val="MDPI11articletype"/>
      </w:pPr>
      <w:r>
        <w:rPr>
          <w:i/>
        </w:rPr>
        <w:t>Article</w:t>
      </w:r>
    </w:p>
    <w:p>
      <w:pPr>
        <w:pStyle w:val="MDPI12title"/>
      </w:pPr>
      <w:r>
        <w:t xml:space="preserve">Multi-step stability selects, actuator-term survival explains:</w:t>
      </w:r>
      <w:r>
        <w:t xml:space="preserve"> </w:t>
      </w:r>
      <w:r>
        <w:t xml:space="preserve">physics-informed features have a non-monotone effect on sparse surrogate models</w:t>
      </w:r>
      <w:r>
        <w:t xml:space="preserve"> </w:t>
      </w:r>
      <w:r>
        <w:t xml:space="preserve">for economic greenhouse climate control</w:t>
      </w:r>
    </w:p>
    <w:p>
      <w:pPr>
        <w:pStyle w:val="MDPI13authornames"/>
      </w:pPr>
      <w:r>
        <w:rPr>
          <w:b/>
        </w:rPr>
        <w:t>[[AUTHOR 1 – FULL NAME REQUIRED]]</w:t>
      </w:r>
      <w:r>
        <w:rPr>
          <w:vertAlign w:val="superscript"/>
        </w:rPr>
        <w:t>1,*</w:t>
      </w:r>
      <w:r>
        <w:t xml:space="preserve">; </w:t>
      </w:r>
      <w:r>
        <w:rPr>
          <w:b/>
        </w:rPr>
        <w:t>[[AUTHOR 2 – FULL NAME REQUIRED]]</w:t>
      </w:r>
      <w:r>
        <w:rPr>
          <w:vertAlign w:val="superscript"/>
        </w:rPr>
        <w:t>2</w:t>
      </w:r>
    </w:p>
    <w:p>
      <w:pPr>
        <w:pStyle w:val="MDPI16affiliation"/>
      </w:pPr>
      <w:r>
        <w:rPr>
          <w:vertAlign w:val="superscript"/>
        </w:rPr>
        <w:t>1</w:t>
      </w:r>
      <w:r>
        <w:t xml:space="preserve"> [[AFFILIATION 1 REQUIRED]]; [[AUTHOR 1 E-MAIL REQUIRED]]</w:t>
      </w:r>
    </w:p>
    <w:p>
      <w:pPr>
        <w:pStyle w:val="MDPI16affiliation"/>
      </w:pPr>
      <w:r>
        <w:rPr>
          <w:vertAlign w:val="superscript"/>
        </w:rPr>
        <w:t>2</w:t>
      </w:r>
      <w:r>
        <w:t xml:space="preserve"> [[AFFILIATION 2 REQUIRED]]; [[AUTHOR 2 E-MAIL REQUIRED]]</w:t>
      </w:r>
    </w:p>
    <w:p>
      <w:pPr>
        <w:pStyle w:val="MDPI16affiliation"/>
      </w:pPr>
      <w:r>
        <w:rPr>
          <w:b/>
        </w:rPr>
        <w:t xml:space="preserve">* Correspondence: </w:t>
      </w:r>
      <w:r>
        <w:t>[[CORRESPONDING AUTHOR E-MAIL REQUIRED]]</w:t>
      </w:r>
    </w:p>
    <w:p>
      <w:pPr>
        <w:pStyle w:val="MDPI17abstract"/>
      </w:pPr>
      <w:r>
        <w:rPr>
          <w:b/>
        </w:rPr>
        <w:t xml:space="preserve">Abstract: </w:t>
      </w:r>
      <w:r>
        <w:t xml:space="preserve">Economic model predictive control (MPC) of greenhouse climate needs a process</w:t>
      </w:r>
      <w:r>
        <w:t xml:space="preserve"> </w:t>
      </w:r>
      <w:r>
        <w:t xml:space="preserve">model, and sparse identification of nonlinear dynamics offers an interpretable</w:t>
      </w:r>
      <w:r>
        <w:t xml:space="preserve"> </w:t>
      </w:r>
      <w:r>
        <w:t xml:space="preserve">surrogate; which open-loop criterion should select one is rarely tested. We</w:t>
      </w:r>
      <w:r>
        <w:t xml:space="preserve"> </w:t>
      </w:r>
      <w:r>
        <w:t xml:space="preserve">screened 72 identification configurations on the GreenLight tomato model under</w:t>
      </w:r>
      <w:r>
        <w:t xml:space="preserve"> </w:t>
      </w:r>
      <w:r>
        <w:t xml:space="preserve">ERA5 weather and compared fifteen controllers over four test seasons at up to 20</w:t>
      </w:r>
      <w:r>
        <w:t xml:space="preserve"> </w:t>
      </w:r>
      <w:r>
        <w:t xml:space="preserve">replicates, scored by seasonal margin. One-step accuracy and multi-step</w:t>
      </w:r>
      <w:r>
        <w:t xml:space="preserve"> </w:t>
      </w:r>
      <w:r>
        <w:t xml:space="preserve">stability ranked the candidate libraries in opposite orders: physically</w:t>
      </w:r>
      <w:r>
        <w:t xml:space="preserve"> </w:t>
      </w:r>
      <w:r>
        <w:t xml:space="preserve">motivated features lowered one-step RMSE from 1.86 to 1.68 °C while</w:t>
      </w:r>
      <w:r>
        <w:t xml:space="preserve"> </w:t>
      </w:r>
      <w:r>
        <w:t xml:space="preserve">raising median 24 h rollout RMSE from 2.67 to 24.27 °C. Multi-step</w:t>
      </w:r>
      <w:r>
        <w:t xml:space="preserve"> </w:t>
      </w:r>
      <w:r>
        <w:t xml:space="preserve">stability selected correctly—the raw library also gave the best economics,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w:t>
      </w:r>
      <w:r>
        <w:t xml:space="preserve"> </w:t>
      </w:r>
      <w:r>
        <w:t xml:space="preserve">(Holm-corrected</w:t>
      </w:r>
      <w:r>
        <w:t xml:space="preserve"> </w:t>
      </w:r>
      <m:oMath>
        <m:r>
          <m:t>p</m:t>
        </m:r>
        <m:r>
          <m:rPr>
            <m:sty m:val="p"/>
          </m:rPr>
          <m:t>=</m:t>
        </m:r>
        <m:r>
          <m:t>4.6</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an agronomic</w:t>
      </w:r>
      <w:r>
        <w:t xml:space="preserve"> </w:t>
      </w:r>
      <w:r>
        <w:t xml:space="preserve">heuristic re-tuned under the same 16-trial budget the reinforcement-learning</w:t>
      </w:r>
      <w:r>
        <w:t xml:space="preserve"> </w:t>
      </w:r>
      <w:r>
        <w:t xml:space="preserve">agents received. Conditioning does not explain this: changing only the library,</w:t>
      </w:r>
      <w:r>
        <w:t xml:space="preserve"> </w:t>
      </w:r>
      <w:r>
        <w:t xml:space="preserve">the condition number rose monotonically (8.2, 24.5, 53.4) but margin did not</w:t>
      </w:r>
      <w:r>
        <w:t xml:space="preserve"> </w:t>
      </w:r>
      <w:r>
        <w:t xml:space="preserve">(</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 Margin followed survival of the boiler coefficient</w:t>
      </w:r>
      <w:r>
        <w:t xml:space="preserve"> </w:t>
      </w:r>
      <w:r>
        <w:t xml:space="preserve">under thresholding (55, 15, 55 %); reinstating it is significant but small</w:t>
      </w:r>
      <w:r>
        <w:t xml:space="preserve"> </w:t>
      </w:r>
      <w:r>
        <w:t xml:space="preserve">(median</w:t>
      </w:r>
      <w:r>
        <w:t xml:space="preserve"> </w:t>
      </w:r>
      <m:oMath>
        <m:r>
          <m:rPr>
            <m:sty m:val="p"/>
          </m:rPr>
          <m:t>+</m:t>
        </m:r>
        <m:r>
          <m:t>0.21</m:t>
        </m:r>
      </m:oMath>
      <w:r>
        <w:t xml:space="preserve">, 16 of 20,</w:t>
      </w:r>
      <w:r>
        <w:t xml:space="preserve"> </w:t>
      </w:r>
      <m:oMath>
        <m:r>
          <m:t>p</m:t>
        </m:r>
        <m:r>
          <m:rPr>
            <m:sty m:val="p"/>
          </m:rPr>
          <m:t>=</m:t>
        </m:r>
        <m:r>
          <m:t>5.9</m:t>
        </m:r>
        <m:r>
          <m:rPr>
            <m:sty m:val="p"/>
          </m:rPr>
          <m:t>×</m:t>
        </m:r>
        <m:sSup>
          <m:e>
            <m:r>
              <m:t>10</m:t>
            </m:r>
          </m:e>
          <m:sup>
            <m:r>
              <m:rPr>
                <m:sty m:val="p"/>
              </m:rPr>
              <m:t>−</m:t>
            </m:r>
            <m:r>
              <m:t>4</m:t>
            </m:r>
          </m:sup>
        </m:sSup>
      </m:oMath>
      <w:r>
        <w:t xml:space="preserve">). The advantage is not</w:t>
      </w:r>
      <w:r>
        <w:t xml:space="preserve"> </w:t>
      </w:r>
      <w:r>
        <w:t xml:space="preserve">Pareto-dominant: five controllers hold the margin–violation front.</w:t>
      </w:r>
    </w:p>
    <w:p>
      <w:pPr>
        <w:pStyle w:val="MDPI18keywords"/>
      </w:pPr>
      <w:r>
        <w:rPr>
          <w:b/>
        </w:rPr>
        <w:t xml:space="preserve">Keywords: </w:t>
      </w:r>
      <w:r>
        <w:rPr>
          <w:b/>
          <w:bCs/>
        </w:rPr>
        <w:t/>
      </w:r>
      <w:r>
        <w:t/>
      </w:r>
      <w:r>
        <w:t xml:space="preserve">greenhouse climate control; economic model predictive control; sparse</w:t>
      </w:r>
      <w:r>
        <w:t xml:space="preserve"> </w:t>
      </w:r>
      <w:r>
        <w:t xml:space="preserve">identification of nonlinear dynamics; control-oriented model selection;</w:t>
      </w:r>
      <w:r>
        <w:t xml:space="preserve"> </w:t>
      </w:r>
      <w:r>
        <w:t xml:space="preserve">multi-step prediction error; physics-informed feature libraries; sparsity</w:t>
      </w:r>
      <w:r>
        <w:t xml:space="preserve"> </w:t>
      </w:r>
      <w:r>
        <w:t xml:space="preserve">thresholding; reinforcement learning baselines</w:t>
      </w:r>
    </w:p>
    <w:p>
      <w:pPr>
        <w:pStyle w:val="MDPI19line"/>
      </w:pPr>
    </w:p>
    <w:bookmarkStart w:id="27" w:name="sec:intro"/>
    <w:p>
      <w:pPr>
        <w:pStyle w:val="MDPI21heading1"/>
        <w:keepNext/>
      </w:pPr>
      <w:r>
        <w:t xml:space="preserve">1. </w:t>
      </w:r>
      <w:r>
        <w:t xml:space="preserve">Introduction</w:t>
      </w:r>
    </w:p>
    <w:p>
      <w:pPr>
        <w:pStyle w:val="MDPI31text"/>
      </w:pPr>
      <w:r>
        <w:t xml:space="preserve">Greenhouse vegetable production is energy-intensive, and its economic result depends</w:t>
      </w:r>
      <w:r>
        <w:t xml:space="preserve"> </w:t>
      </w:r>
      <w:r>
        <w:t xml:space="preserve">directly on the quality of climate control. Heating, CO</w:t>
      </w:r>
      <m:oMath>
        <m:sSub>
          <m:e>
            <m:r>
              <m:t>​</m:t>
            </m:r>
          </m:e>
          <m:sub>
            <m:r>
              <m:t>2</m:t>
            </m:r>
          </m:sub>
        </m:sSub>
      </m:oMath>
      <w:r>
        <w:t xml:space="preserve"> </w:t>
      </w:r>
      <w:r>
        <w:t xml:space="preserve">enrichment and supplementary</w:t>
      </w:r>
      <w:r>
        <w:t xml:space="preserve"> </w:t>
      </w:r>
      <w:r>
        <w:t xml:space="preserve">lighting dominate variable cost, and each has to be weighed against the revenue from the</w:t>
      </w:r>
      <w:r>
        <w:t xml:space="preserve"> </w:t>
      </w:r>
      <w:r>
        <w:t xml:space="preserve">additional yield it buys [1–2]. This is the natural setting for</w:t>
      </w:r>
      <w:r>
        <w:t xml:space="preserve"> </w:t>
      </w:r>
      <w:r>
        <w:t xml:space="preserve">model predictive control (MPC): an economic criterion is optimised over a finite horizon</w:t>
      </w:r>
      <w:r>
        <w:t xml:space="preserve"> </w:t>
      </w:r>
      <w:r>
        <w:t xml:space="preserve">subject to the temperature, humidity and CO</w:t>
      </w:r>
      <m:oMath>
        <m:sSub>
          <m:e>
            <m:r>
              <m:t>​</m:t>
            </m:r>
          </m:e>
          <m:sub>
            <m:r>
              <m:t>2</m:t>
            </m:r>
          </m:sub>
        </m:sSub>
      </m:oMath>
      <w:r>
        <w:t xml:space="preserve"> </w:t>
      </w:r>
      <w:r>
        <w:t xml:space="preserve">bounds that define a productive</w:t>
      </w:r>
      <w:r>
        <w:t xml:space="preserve"> </w:t>
      </w:r>
      <w:r>
        <w:t xml:space="preserve">microclimate [3–6]. MPC, however, requires</w:t>
      </w:r>
      <w:r>
        <w:t xml:space="preserve"> </w:t>
      </w:r>
      <w:r>
        <w:t xml:space="preserve">a process model, and building and calibrating a detailed physical greenhouse model is</w:t>
      </w:r>
      <w:r>
        <w:t xml:space="preserve"> </w:t>
      </w:r>
      <w:r>
        <w:t xml:space="preserve">laborious, which motivates surrogate models identified from data. Sparse identification</w:t>
      </w:r>
      <w:r>
        <w:t xml:space="preserve"> </w:t>
      </w:r>
      <w:r>
        <w:t xml:space="preserve">of nonlinear dynamics (SINDy) is one such route: the dynamics are recovered explicitly as</w:t>
      </w:r>
      <w:r>
        <w:t xml:space="preserve"> </w:t>
      </w:r>
      <w:r>
        <w:t xml:space="preserve">a sparse combination of library functions</w:t>
      </w:r>
      <w:r>
        <w:t xml:space="preserve"> </w:t>
      </w:r>
      <w:r>
        <w:t xml:space="preserve">[7–10].</w:t>
      </w:r>
      <w:r>
        <w:t xml:space="preserve"> </w:t>
      </w:r>
      <w:r>
        <w:t xml:space="preserve">Unlike a neural surrogate, a SINDy model is a white box: its equations can be written out,</w:t>
      </w:r>
      <w:r>
        <w:t xml:space="preserve"> </w:t>
      </w:r>
      <w:r>
        <w:t xml:space="preserve">checked for physical and dimensional consistency, and embedded analytically in the MPC</w:t>
      </w:r>
      <w:r>
        <w:t xml:space="preserve"> </w:t>
      </w:r>
      <w:r>
        <w:t xml:space="preserve">solver — which matters when a controller is to be trusted with a crop.</w:t>
      </w:r>
    </w:p>
    <w:p>
      <w:pPr>
        <w:pStyle w:val="MDPI31text"/>
      </w:pPr>
      <w:r>
        <w:t xml:space="preserve">Whether an interpretable surrogate costs anything in control quality is an empirical</w:t>
      </w:r>
      <w:r>
        <w:t xml:space="preserve"> </w:t>
      </w:r>
      <w:r>
        <w:t xml:space="preserve">question, and answering it objectively is obstructed by three defects that recur in the</w:t>
      </w:r>
      <w:r>
        <w:t xml:space="preserve"> </w:t>
      </w:r>
      <w:r>
        <w:t xml:space="preserve">greenhouse-control and data-driven-control literature. First, learned controllers are</w:t>
      </w:r>
      <w:r>
        <w:t xml:space="preserve"> </w:t>
      </w:r>
      <w:r>
        <w:t xml:space="preserve">often compared against a weak heuristic, whereas well-tuned agronomic rules are a strong</w:t>
      </w:r>
      <w:r>
        <w:t xml:space="preserve"> </w:t>
      </w:r>
      <w:r>
        <w:t xml:space="preserve">reference [11–13]. Second, the reported performance</w:t>
      </w:r>
      <w:r>
        <w:t xml:space="preserve"> </w:t>
      </w:r>
      <w:r>
        <w:t xml:space="preserve">index is frequently a setpoint-tracking error rather than economic margin</w:t>
      </w:r>
      <w:r>
        <w:t xml:space="preserve"> </w:t>
      </w:r>
      <w:r>
        <w:t xml:space="preserve">[6,11], although the two need not be monotonically related. Third —</w:t>
      </w:r>
      <w:r>
        <w:t xml:space="preserve"> </w:t>
      </w:r>
      <w:r>
        <w:t xml:space="preserve">and least obvious — the hyper-parameters of the surrogate are selected on open-loop</w:t>
      </w:r>
      <w:r>
        <w:t xml:space="preserve"> </w:t>
      </w:r>
      <w:r>
        <w:t xml:space="preserve">prediction accuracy [9,14], tacitly assuming that a more accurate</w:t>
      </w:r>
      <w:r>
        <w:t xml:space="preserve"> </w:t>
      </w:r>
      <w:r>
        <w:t xml:space="preserve">model yields better control. Table </w:t>
      </w:r>
      <w:hyperlink w:anchor="tab:defects">
        <w:r>
          <w:rPr>
            <w:rStyle w:val="Hyperlink"/>
          </w:rPr>
          <w:t xml:space="preserve">1</w:t>
        </w:r>
      </w:hyperlink>
      <w:r>
        <w:t xml:space="preserve"> </w:t>
      </w:r>
      <w:r>
        <w:t xml:space="preserve">states each defect, the remedy</w:t>
      </w:r>
      <w:r>
        <w:t xml:space="preserve"> </w:t>
      </w:r>
      <w:r>
        <w:t xml:space="preserve">adopted here, and what we measured the defect to be worth. We emphasise that the first two</w:t>
      </w:r>
      <w:r>
        <w:t xml:space="preserve"> </w:t>
      </w:r>
      <w:r>
        <w:t xml:space="preserve">defects were present in our</w:t>
      </w:r>
      <w:r>
        <w:t xml:space="preserve"> </w:t>
      </w:r>
      <w:r>
        <w:rPr>
          <w:i/>
          <w:iCs/>
        </w:rPr>
        <w:t xml:space="preserve">own</w:t>
      </w:r>
      <w:r>
        <w:t xml:space="preserve"> </w:t>
      </w:r>
      <w:r>
        <w:t xml:space="preserve">earlier analysis of this dataset — an untuned</w:t>
      </w:r>
      <w:r>
        <w:t xml:space="preserve"> </w:t>
      </w:r>
      <w:r>
        <w:t xml:space="preserve">reference, and an MPC stage cost whose actuator weights contradicted the prices the</w:t>
      </w:r>
      <w:r>
        <w:t xml:space="preserve"> </w:t>
      </w:r>
      <w:r>
        <w:t xml:space="preserve">economic criterion itself uses — and that correcting them removed about two thirds of the</w:t>
      </w:r>
      <w:r>
        <w:t xml:space="preserve"> </w:t>
      </w:r>
      <w:r>
        <w:t xml:space="preserve">effect we had originally reported.</w:t>
      </w:r>
    </w:p>
    <w:p>
      <w:pPr>
        <w:pStyle w:val="MDPI31text"/>
      </w:pPr>
      <w:r>
        <w:t xml:space="preserve">The third assumption is exactly what the identification-for-control literature warns</w:t>
      </w:r>
      <w:r>
        <w:t xml:space="preserve"> </w:t>
      </w:r>
      <w:r>
        <w:t xml:space="preserve">against: a model should be judged by the behaviour of the loop it closes, not by the</w:t>
      </w:r>
      <w:r>
        <w:t xml:space="preserve"> </w:t>
      </w:r>
      <w:r>
        <w:t xml:space="preserve">quality of its open-loop fit [15–17]. The same</w:t>
      </w:r>
      <w:r>
        <w:t xml:space="preserve"> </w:t>
      </w:r>
      <w:r>
        <w:t xml:space="preserve">phenomenon reappears for learned models under the name</w:t>
      </w:r>
      <w:r>
        <w:t xml:space="preserve"> </w:t>
      </w:r>
      <w:r>
        <w:rPr>
          <w:i/>
          <w:iCs/>
        </w:rPr>
        <w:t xml:space="preserve">objective mismatch</w:t>
      </w:r>
      <w:r>
        <w:t xml:space="preserve">: one-step</w:t>
      </w:r>
      <w:r>
        <w:t xml:space="preserve"> </w:t>
      </w:r>
      <w:r>
        <w:t xml:space="preserve">predictive accuracy is a poor proxy for control performance</w:t>
      </w:r>
      <w:r>
        <w:t xml:space="preserve"> </w:t>
      </w:r>
      <w:r>
        <w:t xml:space="preserve">[18–20], and recent surveys confirm that the point</w:t>
      </w:r>
      <w:r>
        <w:t xml:space="preserve"> </w:t>
      </w:r>
      <w:r>
        <w:t xml:space="preserve">is live for modern data-driven surrogates [21–22]. That</w:t>
      </w:r>
      <w:r>
        <w:t xml:space="preserve"> </w:t>
      </w:r>
      <w:r>
        <w:t xml:space="preserve">literature is largely diagnostic, and its prescription — evaluate candidates in closed</w:t>
      </w:r>
      <w:r>
        <w:t xml:space="preserve"> </w:t>
      </w:r>
      <w:r>
        <w:t xml:space="preserve">loop — costs a simulator, a solver and a full season per candidate. The practical</w:t>
      </w:r>
      <w:r>
        <w:t xml:space="preserve"> </w:t>
      </w:r>
      <w:r>
        <w:t xml:space="preserve">question is therefore narrower and, to our knowledge,</w:t>
      </w:r>
      <w:r>
        <w:t xml:space="preserve"> </w:t>
      </w:r>
      <w:r>
        <w:t xml:space="preserve">unanswered for economic greenhouse MPC:</w:t>
      </w:r>
      <w:r>
        <w:t xml:space="preserve"> </w:t>
      </w:r>
      <w:r>
        <w:rPr>
          <w:i/>
          <w:iCs/>
        </w:rPr>
        <w:t xml:space="preserve">if</w:t>
      </w:r>
      <w:r>
        <w:t xml:space="preserve"> </w:t>
      </w:r>
      <w:r>
        <w:t xml:space="preserve">a surrogate must be selected open-loop,</w:t>
      </w:r>
      <w:r>
        <w:t xml:space="preserve"> </w:t>
      </w:r>
      <w:r>
        <w:rPr>
          <w:i/>
          <w:iCs/>
        </w:rPr>
        <w:t xml:space="preserve">which</w:t>
      </w:r>
      <w:r>
        <w:t xml:space="preserve"> </w:t>
      </w:r>
      <w:r>
        <w:t xml:space="preserve">open-loop criterion tracks closed-loop economics?</w:t>
      </w:r>
    </w:p>
    <w:p>
      <w:pPr>
        <w:pStyle w:val="MDPI31text"/>
      </w:pPr>
      <w:r>
        <w:t xml:space="preserve">A second, related gap concerns the content of the feature library. Physically motivated</w:t>
      </w:r>
      <w:r>
        <w:t xml:space="preserve"> </w:t>
      </w:r>
      <w:r>
        <w:t xml:space="preserve">basis functions — saturation vapour pressure, vapour-pressure deficit,</w:t>
      </w:r>
      <w:r>
        <w:t xml:space="preserve"> </w:t>
      </w:r>
      <w:r>
        <w:t xml:space="preserve">screen-attenuated radiation — are adopted almost by default in physics-informed</w:t>
      </w:r>
      <w:r>
        <w:t xml:space="preserve"> </w:t>
      </w:r>
      <w:r>
        <w:t xml:space="preserve">surrogate modelling [23–24], on the reasonable presumption that</w:t>
      </w:r>
      <w:r>
        <w:t xml:space="preserve"> </w:t>
      </w:r>
      <w:r>
        <w:t xml:space="preserve">encoding known physics can only help. They are rarely tested for harm. Yet such features</w:t>
      </w:r>
      <w:r>
        <w:t xml:space="preserve"> </w:t>
      </w:r>
      <w:r>
        <w:t xml:space="preserve">are nonlinear transforms of the same measured states, hence near-collinear with them, and</w:t>
      </w:r>
      <w:r>
        <w:t xml:space="preserve"> </w:t>
      </w:r>
      <w:r>
        <w:t xml:space="preserve">collinearity is known to degrade sparse regression [25–26].</w:t>
      </w:r>
      <w:r>
        <w:t xml:space="preserve"> </w:t>
      </w:r>
      <w:r>
        <w:t xml:space="preserve">Whether that presumption survives a closed-loop economic criterion is the second question</w:t>
      </w:r>
      <w:r>
        <w:t xml:space="preserve"> </w:t>
      </w:r>
      <w:r>
        <w:t xml:space="preserve">we address.</w:t>
      </w:r>
    </w:p>
    <w:bookmarkStart w:id="26" w:name="tab:defects"/>
    <w:p>
      <w:pPr>
        <w:pStyle w:val="MDPI41tablecaption"/>
        <w:keepNext/>
      </w:pPr>
      <w:r>
        <w:rPr>
          <w:b/>
        </w:rPr>
        <w:t xml:space="preserve">Table 1. </w:t>
      </w:r>
      <w:r>
        <w:t xml:space="preserve">The three benchmarking defects addressed in this study, and the measured cost of</w:t>
      </w:r>
      <w:r>
        <w:t xml:space="preserve"> </w:t>
      </w:r>
      <w:r>
        <w:t xml:space="preserve">leaving each in place. All figures are seasonal margin in EUR m</w:t>
      </w:r>
      <m:oMath>
        <m:sSup>
          <m:e>
            <m:r>
              <m:t>​</m:t>
            </m:r>
          </m:e>
          <m:sup>
            <m:r>
              <m:rPr>
                <m:sty m:val="p"/>
              </m:rPr>
              <m:t>−</m:t>
            </m:r>
            <m:r>
              <m:t>2</m:t>
            </m:r>
          </m:sup>
        </m:sSup>
      </m:oMath>
      <w:r>
        <w:t xml:space="preserve"> </w:t>
      </w:r>
      <w:r>
        <w:t xml:space="preserve">unless stated</w:t>
      </w:r>
      <w:r>
        <w:t xml:space="preserve"> </w:t>
      </w:r>
      <w:r>
        <w:t xml:space="preserve">otherwise.</w:t>
      </w:r>
    </w:p>
    <w:tbl>
      <w:tblPr>
        <w:tblStyle w:val="MDPI41threelinetable"/>
        <w:tblW w:type="dxa" w:w="7920"/>
        <w:tblLook w:firstRow="1" w:lastRow="0" w:firstColumn="0" w:lastColumn="0" w:noHBand="0" w:noVBand="0" w:val="0020"/>
        <w:tblCaption w:val="The three benchmarking defects addressed in this study, and the measured cost of leaving each in place. All figures are seasonal margin in EUR m^{-2} unless stated otherwise."/>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2640"/>
        <w:gridCol w:w="2640"/>
        <w:gridCol w:w="2640"/>
      </w:tblGrid>
      <w:tr>
        <w:trPr>
          <w:tblHeader w:val="on"/>
          <w:cantSplit/>
        </w:trPr>
        <w:tc>
          <w:tcPr>
            <w:vAlign w:val="center"/>
            <w:tcBorders>
              <w:bottom w:val="single" w:sz="8" w:space="0" w:color="000000"/>
            </w:tcBorders>
          </w:tcPr>
          <w:p>
            <w:pPr>
              <w:pStyle w:val="MDPI42tablebody"/>
              <w:jc w:val="center"/>
            </w:pPr>
            <w:r>
              <w:rPr>
                <w:b/>
                <w:bCs/>
              </w:rPr>
              <w:t xml:space="preserve">Defect</w:t>
            </w:r>
          </w:p>
        </w:tc>
        <w:tc>
          <w:tcPr>
            <w:vAlign w:val="center"/>
            <w:tcBorders>
              <w:bottom w:val="single" w:sz="8" w:space="0" w:color="000000"/>
            </w:tcBorders>
          </w:tcPr>
          <w:p>
            <w:pPr>
              <w:pStyle w:val="MDPI42tablebody"/>
              <w:jc w:val="center"/>
            </w:pPr>
            <w:r>
              <w:rPr>
                <w:b/>
                <w:bCs/>
              </w:rPr>
              <w:t xml:space="preserve">Remedy adopted here</w:t>
            </w:r>
          </w:p>
        </w:tc>
        <w:tc>
          <w:tcPr>
            <w:vAlign w:val="center"/>
            <w:tcBorders>
              <w:bottom w:val="single" w:sz="8" w:space="0" w:color="000000"/>
            </w:tcBorders>
          </w:tcPr>
          <w:p>
            <w:pPr>
              <w:pStyle w:val="MDPI42tablebody"/>
              <w:jc w:val="center"/>
            </w:pPr>
            <w:r>
              <w:rPr>
                <w:b/>
                <w:bCs/>
              </w:rPr>
              <w:t xml:space="preserve">Measured consequence of the</w:t>
            </w:r>
            <w:r>
              <w:rPr>
                <w:b/>
                <w:bCs/>
              </w:rPr>
              <w:t xml:space="preserve"> </w:t>
            </w:r>
            <w:r>
              <w:rPr>
                <w:b/>
                <w:bCs/>
              </w:rPr>
              <w:t xml:space="preserve">defect</w:t>
            </w:r>
          </w:p>
        </w:tc>
      </w:tr>
      <w:tr>
        <w:trPr>
          <w:cantSplit/>
        </w:trPr>
        <w:tc>
          <w:tcPr>
            <w:vAlign w:val="center"/>
          </w:tcPr>
          <w:p>
            <w:pPr>
              <w:pStyle w:val="MDPI42tablebody"/>
              <w:jc w:val="left"/>
            </w:pPr>
            <w:r>
              <w:t xml:space="preserve">Weak reference: learned controllers compared with a hard-coded heuristic</w:t>
            </w:r>
          </w:p>
        </w:tc>
        <w:tc>
          <w:tcPr>
            <w:vAlign w:val="center"/>
          </w:tcPr>
          <w:p>
            <w:pPr>
              <w:pStyle w:val="MDPI42tablebody"/>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center"/>
          </w:tcPr>
          <w:p>
            <w:pPr>
              <w:pStyle w:val="MDPI42tablebody"/>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rPr>
          <w:cantSplit/>
        </w:trPr>
        <w:tc>
          <w:tcPr>
            <w:vAlign w:val="center"/>
          </w:tcPr>
          <w:p>
            <w:pPr>
              <w:pStyle w:val="MDPI42tablebody"/>
              <w:jc w:val="left"/>
            </w:pPr>
            <w:r>
              <w:t xml:space="preserve">Proxy objective: tracking error reported instead of margin, and an MPC stage cost whose</w:t>
            </w:r>
            <w:r>
              <w:t xml:space="preserve"> </w:t>
            </w:r>
            <w:r>
              <w:t xml:space="preserve">actuator weights contradict the prices the criterion uses</w:t>
            </w:r>
          </w:p>
        </w:tc>
        <w:tc>
          <w:tcPr>
            <w:vAlign w:val="center"/>
          </w:tcPr>
          <w:p>
            <w:pPr>
              <w:pStyle w:val="MDPI42tablebody"/>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center"/>
          </w:tcPr>
          <w:p>
            <w:pPr>
              <w:pStyle w:val="MDPI42tablebody"/>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rPr>
          <w:cantSplit/>
        </w:trPr>
        <w:tc>
          <w:tcPr>
            <w:vAlign w:val="center"/>
          </w:tcPr>
          <w:p>
            <w:pPr>
              <w:pStyle w:val="MDPI42tablebody"/>
              <w:jc w:val="left"/>
            </w:pPr>
            <w:r>
              <w:t xml:space="preserve">Open-loop selection: identification configuration chosen by one-step prediction accuracy</w:t>
            </w:r>
          </w:p>
        </w:tc>
        <w:tc>
          <w:tcPr>
            <w:vAlign w:val="center"/>
          </w:tcPr>
          <w:p>
            <w:pPr>
              <w:pStyle w:val="MDPI42tablebody"/>
              <w:jc w:val="left"/>
            </w:pPr>
            <w:r>
              <w:t xml:space="preserve">Candidates are scored by multi-step rollout stability and regression conditioning, fixed</w:t>
            </w:r>
            <w:r>
              <w:t xml:space="preserve"> </w:t>
            </w:r>
            <w:r>
              <w:t xml:space="preserve">before and independently of any closed-loop evaluation</w:t>
            </w:r>
          </w:p>
        </w:tc>
        <w:tc>
          <w:tcPr>
            <w:vAlign w:val="center"/>
          </w:tcPr>
          <w:p>
            <w:pPr>
              <w:pStyle w:val="MDPI42tablebody"/>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6"/>
    <w:p>
      <w:pPr>
        <w:pStyle w:val="MDPI31text"/>
      </w:pPr>
      <w:r>
        <w:t xml:space="preserve">We address both questions on a validated GreenLight tomato model</w:t>
      </w:r>
      <w:r>
        <w:t xml:space="preserve"> </w:t>
      </w:r>
      <w:r>
        <w:t xml:space="preserve">[1,13], driven by recorded weather for a single location and</w:t>
      </w:r>
      <w:r>
        <w:t xml:space="preserve"> </w:t>
      </w:r>
      <w:r>
        <w:t xml:space="preserve">simulated at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[27–29],</w:t>
      </w:r>
      <w:r>
        <w:t xml:space="preserve"> </w:t>
      </w:r>
      <w:r>
        <w:t xml:space="preserve">a full-simulator-model MPC and the rule-based heuristic in both</w:t>
      </w:r>
      <w:r>
        <w:t xml:space="preserve"> </w:t>
      </w:r>
      <w:r>
        <w:t xml:space="preserve">its stock and tuned configurations — over four held-out test seasons. A</w:t>
      </w:r>
      <w:r>
        <w:t xml:space="preserve"> </w:t>
      </w:r>
      <w:r>
        <w:rPr>
          <w:i/>
          <w:iCs/>
        </w:rPr>
        <w:t xml:space="preserve">season</w:t>
      </w:r>
      <w:r>
        <w:t xml:space="preserve"> </w:t>
      </w:r>
      <w:r>
        <w:t xml:space="preserve">here is the 60-day window from 1 March, and margin is profit per square metre of floor</w:t>
      </w:r>
      <w:r>
        <w:t xml:space="preserve"> </w:t>
      </w:r>
      <w:r>
        <w:t xml:space="preserve">area. Each learned controller was run at 20 identification 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[30–32]; against the deterministic</w:t>
      </w:r>
      <w:r>
        <w:t xml:space="preserve"> </w:t>
      </w:r>
      <w:r>
        <w:t xml:space="preserve">heuristic the test is one-sample against a constant rather than genuinely paired. The</w:t>
      </w:r>
      <w:r>
        <w:t xml:space="preserve"> </w:t>
      </w:r>
      <w:r>
        <w:t xml:space="preserve">contributions are four.</w:t>
      </w:r>
    </w:p>
    <w:p>
      <w:pPr>
        <w:pStyle w:val="MDPI31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4.6</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Physical motivation</w:t>
      </w:r>
      <w:r>
        <w:t xml:space="preserve"> </w:t>
      </w:r>
      <w:r>
        <w:t xml:space="preserve">of a basis function is therefore not evidence that it belongs in the library.</w:t>
      </w:r>
    </w:p>
    <w:p>
      <w:pPr>
        <w:pStyle w:val="MDPI31text"/>
      </w:pPr>
      <w:r>
        <w:rPr>
          <w:b/>
          <w:bCs/>
        </w:rPr>
        <w:t xml:space="preserve">(ii) The damage done by physically motivated features is not monotone in how</w:t>
      </w:r>
      <w:r>
        <w:rPr>
          <w:b/>
          <w:bCs/>
        </w:rPr>
        <w:t xml:space="preserve"> </w:t>
      </w:r>
      <w:r>
        <w:rPr>
          <w:b/>
          <w:bCs/>
        </w:rPr>
        <w:t xml:space="preserve">many are added.</w:t>
      </w:r>
      <w:r>
        <w:t xml:space="preserve"> </w:t>
      </w:r>
      <w:r>
        <w:t xml:space="preserve">All three libraries have now been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and closed-loop economics not at all; the</w:t>
      </w:r>
      <w:r>
        <w:t xml:space="preserve"> </w:t>
      </w:r>
      <w:r>
        <w:t xml:space="preserve">agreement observed while only two of the three libraries had closed-loop controllers was</w:t>
      </w:r>
      <w:r>
        <w:t xml:space="preserve"> </w:t>
      </w:r>
      <w:r>
        <w:t xml:space="preserve">a two-point coincidence. This retracts an ill-conditioning mechanism we had previously</w:t>
      </w:r>
      <w:r>
        <w:t xml:space="preserve"> </w:t>
      </w:r>
      <w:r>
        <w:t xml:space="preserve">advanced for the closed-loop result, and replaces it with contribution (iv).</w:t>
      </w:r>
    </w:p>
    <w:p>
      <w:pPr>
        <w:pStyle w:val="MDPI31text"/>
      </w:pPr>
      <w:r>
        <w:rPr>
          <w:b/>
          <w:bCs/>
        </w:rPr>
        <w:t xml:space="preserve">(iii) A benchmark whose comparison defects have been measured rather than</w:t>
      </w:r>
      <w:r>
        <w:rPr>
          <w:b/>
          <w:bCs/>
        </w:rPr>
        <w:t xml:space="preserve"> </w:t>
      </w:r>
      <w:r>
        <w:rPr>
          <w:b/>
          <w:bCs/>
        </w:rPr>
        <w:t xml:space="preserve">assumed.</w:t>
      </w:r>
      <w:r>
        <w:t xml:space="preserve"> </w:t>
      </w:r>
      <w:r>
        <w:t xml:space="preserve">Against the properly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6.3</m:t>
        </m:r>
        <m:r>
          <m:rPr>
            <m:sty m:val="p"/>
          </m:rPr>
          <m:t>×</m:t>
        </m:r>
        <m:sSup>
          <m:e>
            <m:r>
              <m:t>10</m:t>
            </m:r>
          </m:e>
          <m:sup>
            <m:r>
              <m:rPr>
                <m:sty m:val="p"/>
              </m:rPr>
              <m:t>−</m:t>
            </m:r>
            <m:r>
              <m:t>11</m:t>
            </m:r>
          </m:sup>
        </m:sSup>
      </m:oMath>
      <w:r>
        <w:t xml:space="preserve">, Holm correction over a family of 15, which we</w:t>
      </w:r>
      <w:r>
        <w:t xml:space="preserve"> </w:t>
      </w:r>
      <w:r>
        <w:t xml:space="preserve">declare wherever a corrected level is quoted). Three 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w:t>
      </w:r>
      <w:r>
        <w:t xml:space="preserve"> </w:t>
      </w:r>
      <w:r>
        <w:t xml:space="preserve">untuned reference the same</w:t>
      </w:r>
      <w:r>
        <w:t xml:space="preserve"> </w:t>
      </w:r>
      <w:r>
        <w:t xml:space="preserve">advantage would read</w:t>
      </w:r>
      <w:r>
        <w:t xml:space="preserve"> </w:t>
      </w:r>
      <m:oMath>
        <m:r>
          <m:rPr>
            <m:sty m:val="p"/>
          </m:rPr>
          <m:t>+</m:t>
        </m:r>
        <m:r>
          <m:t>5.54</m:t>
        </m:r>
      </m:oMath>
      <w:r>
        <w:t xml:space="preserve"> </w:t>
      </w:r>
      <w:r>
        <w:t xml:space="preserve">— the failure mode this literature is criticised for,</w:t>
      </w:r>
      <w:r>
        <w:t xml:space="preserve"> </w:t>
      </w:r>
      <w:r>
        <w:t xml:space="preserve">reproduced and quantified on our own data. Likewise, two thirds of what initially</w:t>
      </w:r>
      <w:r>
        <w:t xml:space="preserve"> </w:t>
      </w:r>
      <w:r>
        <w:t xml:space="preserve">looked like a feature-library effect was in fact a defective MPC stage cost</w:t>
      </w:r>
      <w:r>
        <w:t xml:space="preserve"> </w:t>
      </w:r>
      <w:r>
        <w:t xml:space="preserve">(Table </w:t>
      </w:r>
      <w:hyperlink w:anchor="tab:defects">
        <w:r>
          <w:rPr>
            <w:rStyle w:val="Hyperlink"/>
          </w:rPr>
          <w:t xml:space="preserve">1</w:t>
        </w:r>
      </w:hyperlink>
      <w:r>
        <w:t xml:space="preserve">, row 2).</w:t>
      </w:r>
    </w:p>
    <w:p>
      <w:pPr>
        <w:pStyle w:val="MDPI31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w:t>
      </w:r>
      <w:r>
        <w:t xml:space="preserve"> </w:t>
      </w:r>
      <w:r>
        <w:rPr>
          <w:i/>
          <w:iCs/>
        </w:rPr>
        <w:t xml:space="preserve">gates</w:t>
      </w:r>
      <w:r>
        <w:t xml:space="preserve"> </w:t>
      </w:r>
      <w:r>
        <w:t xml:space="preserve">the outcome but does not</w:t>
      </w:r>
      <w:r>
        <w:t xml:space="preserve"> </w:t>
      </w:r>
      <w:r>
        <w:rPr>
          <w:i/>
          <w:iCs/>
        </w:rPr>
        <w:t xml:space="preserve">order</w:t>
      </w:r>
      <w:r>
        <w:t xml:space="preserve"> </w:t>
      </w:r>
      <w:r>
        <w:t xml:space="preserve">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2.36</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MDPI31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 the</w:t>
      </w:r>
      <w:r>
        <w:t xml:space="preserve"> </w:t>
      </w:r>
      <w:r>
        <w:t xml:space="preserve">cross-environment case was never measured, and the closed-loop loop is chaotic enough</w:t>
      </w:r>
      <w:r>
        <w:t xml:space="preserve"> </w:t>
      </w:r>
      <w:r>
        <w:t xml:space="preserve">that even the deterministic reference does not reproduce exactly between two harnesses.</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7"/>
    <w:bookmarkStart w:id="39" w:name="sec:methods"/>
    <w:p>
      <w:pPr>
        <w:pStyle w:val="MDPI21heading1"/>
        <w:keepNext/>
      </w:pPr>
      <w:r>
        <w:t xml:space="preserve">2. </w:t>
      </w:r>
      <w:r>
        <w:t xml:space="preserve">Materials and Methods</w:t>
      </w:r>
    </w:p>
    <w:bookmarkStart w:id="28" w:name="sec:sim"/>
    <w:p>
      <w:pPr>
        <w:pStyle w:val="MDPI22heading2"/>
        <w:keepNext/>
      </w:pPr>
      <w:r>
        <w:t xml:space="preserve">2.1. </w:t>
      </w:r>
      <w:r>
        <w:t xml:space="preserve">Simulator, site, weather and season</w:t>
      </w:r>
    </w:p>
    <w:p>
      <w:pPr>
        <w:pStyle w:val="MDPI31text"/>
      </w:pPr>
      <w:r>
        <w:t xml:space="preserve">All experiments were run in simulation with the GreenLight tomato greenhouse model</w:t>
      </w:r>
      <w:r>
        <w:t xml:space="preserve"> </w:t>
      </w:r>
      <w:r>
        <w:t xml:space="preserve">[1–2] through the GreenLight-Gym interface [13].</w:t>
      </w:r>
      <w:r>
        <w:t xml:space="preserve"> </w:t>
      </w: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[33] via Open-Meteo</w:t>
      </w:r>
      <w:r>
        <w:t xml:space="preserve"> </w:t>
      </w:r>
      <w:r>
        <w:t xml:space="preserve">[34];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[25]. Evaluation rollouts carry no excitation.</w:t>
      </w:r>
    </w:p>
    <w:bookmarkEnd w:id="28"/>
    <w:bookmarkStart w:id="29" w:name="sec:epi"/>
    <w:p>
      <w:pPr>
        <w:pStyle w:val="MDPI22heading2"/>
        <w:keepNext/>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14="http://schemas.microsoft.com/office/word/2010/wordml">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w:t>
      </w:r>
      <w:r>
        <w:t xml:space="preserve"> </w:t>
      </w:r>
      <w:r>
        <w:rPr>
          <w:i/>
          <w:iCs/>
        </w:rPr>
        <w:t xml:space="preserve">not</w:t>
      </w:r>
      <w:r>
        <w:t xml:space="preserve"> </w:t>
      </w:r>
      <w:r>
        <w:t xml:space="preserve">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MDPI31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w:t>
      </w:r>
      <w:hyperlink w:anchor="eq:epi">
        <w:r>
          <w:rPr>
            <w:rStyle w:val="Hyperlink"/>
          </w:rPr>
          <w:t>(1)</w:t>
        </w:r>
      </w:hyperlink>
      <w:r>
        <w:t xml:space="preserve">, and why</w:t>
      </w:r>
      <w:r>
        <w:t xml:space="preserve"> </w:t>
      </w:r>
      <m:oMath>
        <m:r>
          <m:t>J</m:t>
        </m:r>
      </m:oMath>
      <w:r>
        <w:t xml:space="preserve"> </w:t>
      </w:r>
      <w:r>
        <w:t xml:space="preserve">is reported as a</w:t>
      </w:r>
      <w:r>
        <w:t xml:space="preserve"> </w:t>
      </w:r>
      <w:r>
        <w:rPr>
          <w:i/>
          <w:iCs/>
        </w:rPr>
        <w:t xml:space="preserve">margin</w:t>
      </w:r>
      <w:r>
        <w:t xml:space="preserve"> </w:t>
      </w:r>
      <w:r>
        <w:t xml:space="preserve">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w:t>
      </w:r>
      <w:r>
        <w:t xml:space="preserve"> </w:t>
      </w:r>
      <w:r>
        <w:rPr>
          <w:i/>
          <w:iCs/>
        </w:rPr>
        <w:t xml:space="preserve">above</w:t>
      </w:r>
      <w:r>
        <w:t xml:space="preserve"> </w:t>
      </w:r>
      <w:r>
        <w:t xml:space="preserve">85 % and CO</w:t>
      </w:r>
      <m:oMath>
        <m:sSub>
          <m:e>
            <m:r>
              <m:t>​</m:t>
            </m:r>
          </m:e>
          <m:sub>
            <m:r>
              <m:t>2</m:t>
            </m:r>
          </m:sub>
        </m:sSub>
      </m:oMath>
      <w:r>
        <w:t xml:space="preserve"> </w:t>
      </w:r>
      <w:r>
        <w:t xml:space="preserve">only</w:t>
      </w:r>
      <w:r>
        <w:t xml:space="preserve"> </w:t>
      </w:r>
      <w:r>
        <w:rPr>
          <w:i/>
          <w:iCs/>
        </w:rPr>
        <w:t xml:space="preserve">below</w:t>
      </w:r>
      <w:r>
        <w:t xml:space="preserve"> </w:t>
      </w:r>
      <w:r>
        <w:t xml:space="preserve">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9"/>
    <w:bookmarkStart w:id="31" w:name="sec:controllers"/>
    <w:p>
      <w:pPr>
        <w:pStyle w:val="MDPI22heading2"/>
        <w:keepNext/>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Two naming corrections</w:t>
      </w:r>
      <w:r>
        <w:t xml:space="preserve"> </w:t>
      </w:r>
      <w:r>
        <w:t xml:space="preserve">apply relative to earlier reports of this work, and both are stated in the text because</w:t>
      </w:r>
      <w:r>
        <w:t xml:space="preserve"> </w:t>
      </w:r>
      <w:r>
        <w:t xml:space="preserve">each was previously used to support a claim it does not support. First, the</w:t>
      </w:r>
      <w:r>
        <w:t xml:space="preserve"> </w:t>
      </w:r>
      <w:r>
        <w:rPr>
          <w:i/>
          <w:iCs/>
        </w:rPr>
        <w:t xml:space="preserve">low-threshold</w:t>
      </w:r>
      <w:r>
        <w:t xml:space="preserve"> </w:t>
      </w:r>
      <w:r>
        <w:t xml:space="preserve">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w:t>
      </w:r>
      <w:r>
        <w:t xml:space="preserve"> </w:t>
      </w:r>
      <w:r>
        <w:rPr>
          <w:i/>
          <w:iCs/>
        </w:rPr>
        <w:t xml:space="preserve">never queried</w:t>
      </w:r>
      <w:r>
        <w:t xml:space="preserve"> </w:t>
      </w:r>
      <w:r>
        <w:t xml:space="preserve">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30" w:name="tab:controllers"/>
    <w:p>
      <w:pPr>
        <w:pStyle w:val="MDPI41tablecaption"/>
        <w:keepNext/>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dxa" w:w="792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2640"/>
        <w:gridCol w:w="2640"/>
        <w:gridCol w:w="2640"/>
      </w:tblGrid>
      <w:tr>
        <w:trPr>
          <w:tblHeader w:val="on"/>
          <w:cantSplit/>
        </w:trPr>
        <w:tc>
          <w:tcPr>
            <w:vAlign w:val="center"/>
            <w:tcBorders>
              <w:bottom w:val="single" w:sz="8" w:space="0" w:color="000000"/>
            </w:tcBorders>
          </w:tcPr>
          <w:p>
            <w:pPr>
              <w:pStyle w:val="MDPI42tablebody"/>
              <w:jc w:val="center"/>
            </w:pPr>
            <w:r>
              <w:rPr>
                <w:b/>
              </w:rPr>
              <w:t xml:space="preserve">Label</w:t>
            </w:r>
          </w:p>
        </w:tc>
        <w:tc>
          <w:tcPr>
            <w:vAlign w:val="center"/>
            <w:tcBorders>
              <w:bottom w:val="single" w:sz="8" w:space="0" w:color="000000"/>
            </w:tcBorders>
          </w:tcPr>
          <w:p>
            <w:pPr>
              <w:pStyle w:val="MDPI42tablebody"/>
              <w:jc w:val="center"/>
            </w:pPr>
            <w:r>
              <w:rPr>
                <w:b/>
              </w:rPr>
              <w:t xml:space="preserve">Family</w:t>
            </w:r>
          </w:p>
        </w:tc>
        <w:tc>
          <w:tcPr>
            <w:vAlign w:val="center"/>
            <w:tcBorders>
              <w:bottom w:val="single" w:sz="8" w:space="0" w:color="000000"/>
            </w:tcBorders>
          </w:tcPr>
          <w:p>
            <w:pPr>
              <w:pStyle w:val="MDPI42tablebody"/>
              <w:jc w:val="center"/>
            </w:pPr>
            <w:r>
              <w:rPr>
                <w:b/>
              </w:rPr>
              <w:t xml:space="preserve">Definition</w:t>
            </w:r>
          </w:p>
        </w:tc>
      </w:tr>
      <w:tr>
        <w:trPr>
          <w:cantSplit/>
        </w:trPr>
        <w:tc>
          <w:tcPr>
            <w:vAlign w:val="center"/>
          </w:tcPr>
          <w:p>
            <w:pPr>
              <w:pStyle w:val="MDPI42tablebody"/>
              <w:jc w:val="center"/>
            </w:pPr>
            <w:r>
              <w:rPr>
                <w:rStyle w:val="VerbatimChar"/>
              </w:rPr>
              <w:t xml:space="preserve">rule_based</w:t>
            </w:r>
          </w:p>
        </w:tc>
        <w:tc>
          <w:tcPr>
            <w:vAlign w:val="center"/>
          </w:tcPr>
          <w:p>
            <w:pPr>
              <w:pStyle w:val="MDPI42tablebody"/>
              <w:jc w:val="center"/>
            </w:pPr>
            <w:r>
              <w:t xml:space="preserve">heuristic</w:t>
            </w:r>
          </w:p>
        </w:tc>
        <w:tc>
          <w:tcPr>
            <w:vAlign w:val="center"/>
          </w:tcPr>
          <w:p>
            <w:pPr>
              <w:pStyle w:val="MDPI42tablebody"/>
              <w:jc w:val="left"/>
            </w:pPr>
            <w:r>
              <w:t xml:space="preserve">agronomic setpoint heuristic, hard-coded setpoints; deterministic</w:t>
            </w:r>
          </w:p>
        </w:tc>
      </w:tr>
      <w:tr>
        <w:trPr>
          <w:cantSplit/>
        </w:trPr>
        <w:tc>
          <w:tcPr>
            <w:vAlign w:val="center"/>
          </w:tcPr>
          <w:p>
            <w:pPr>
              <w:pStyle w:val="MDPI42tablebody"/>
              <w:jc w:val="center"/>
            </w:pPr>
            <w:r>
              <w:rPr>
                <w:rStyle w:val="VerbatimChar"/>
              </w:rPr>
              <w:t xml:space="preserve">rule_based_tuned</w:t>
            </w:r>
          </w:p>
        </w:tc>
        <w:tc>
          <w:tcPr>
            <w:vAlign w:val="center"/>
          </w:tcPr>
          <w:p>
            <w:pPr>
              <w:pStyle w:val="MDPI42tablebody"/>
              <w:jc w:val="center"/>
            </w:pPr>
            <w:r>
              <w:t xml:space="preserve">heuristic</w:t>
            </w:r>
          </w:p>
        </w:tc>
        <w:tc>
          <w:tcPr>
            <w:vAlign w:val="center"/>
          </w:tcPr>
          <w:p>
            <w:pPr>
              <w:pStyle w:val="MDPI42tablebody"/>
              <w:jc w:val="left"/>
            </w:pPr>
            <w:r>
              <w:t xml:space="preserve">the same heuristic after a 16-trial setpoint search (Section </w:t>
            </w:r>
            <w:hyperlink w:anchor="sec:rbtune">
              <w:r>
                <w:rPr>
                  <w:rStyle w:val="Hyperlink"/>
                </w:rPr>
                <w:t xml:space="preserve">2.7</w:t>
              </w:r>
            </w:hyperlink>
            <w:r>
              <w:t xml:space="preserve">)</w:t>
            </w:r>
          </w:p>
        </w:tc>
      </w:tr>
      <w:tr>
        <w:trPr>
          <w:cantSplit/>
        </w:trPr>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SINDy-MPC</w:t>
            </w:r>
          </w:p>
        </w:tc>
        <w:tc>
          <w:tcPr>
            <w:vAlign w:val="center"/>
          </w:tcPr>
          <w:p>
            <w:pPr>
              <w:pStyle w:val="MDPI42tablebody"/>
              <w:jc w:val="center"/>
            </w:pPr>
            <w:r>
              <w:t xml:space="preserve">raw library, STLSQ,</w:t>
            </w:r>
            <w:r>
              <w:t xml:space="preserve"> </w:t>
            </w:r>
            <m:oMath>
              <m:r>
                <m:t>λ</m:t>
              </m:r>
              <m:r>
                <m:rPr>
                  <m:sty m:val="p"/>
                </m:rPr>
                <m:t>=</m:t>
              </m:r>
              <m:r>
                <m:t>0.05</m:t>
              </m:r>
            </m:oMath>
          </w:p>
        </w:tc>
      </w:tr>
      <w:tr>
        <w:trPr>
          <w:cantSplit/>
        </w:trPr>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SINDy-MPC</w:t>
            </w:r>
          </w:p>
        </w:tc>
        <w:tc>
          <w:tcPr>
            <w:vAlign w:val="center"/>
          </w:tcPr>
          <w:p>
            <w:pPr>
              <w:pStyle w:val="MDPI42tablebody"/>
              <w:jc w:val="center"/>
            </w:pPr>
            <w:r>
              <w:t xml:space="preserve">raw library, ensemble,</w:t>
            </w:r>
            <w:r>
              <w:t xml:space="preserve"> </w:t>
            </w:r>
            <m:oMath>
              <m:r>
                <m:t>λ</m:t>
              </m:r>
              <m:r>
                <m:rPr>
                  <m:sty m:val="p"/>
                </m:rPr>
                <m:t>=</m:t>
              </m:r>
              <m:r>
                <m:t>0.05</m:t>
              </m:r>
            </m:oMath>
          </w:p>
        </w:tc>
      </w:tr>
      <w:tr>
        <w:trPr>
          <w:cantSplit/>
        </w:trPr>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SINDy-MPC</w:t>
            </w:r>
          </w:p>
        </w:tc>
        <w:tc>
          <w:tcPr>
            <w:vAlign w:val="center"/>
          </w:tcPr>
          <w:p>
            <w:pPr>
              <w:pStyle w:val="MDPI42tablebody"/>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rPr>
          <w:cantSplit/>
        </w:trPr>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SINDy-MPC</w:t>
            </w:r>
          </w:p>
        </w:tc>
        <w:tc>
          <w:tcPr>
            <w:vAlign w:val="center"/>
          </w:tcPr>
          <w:p>
            <w:pPr>
              <w:pStyle w:val="MDPI42tablebody"/>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rPr>
          <w:cantSplit/>
        </w:trPr>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SINDy-MPC</w:t>
            </w:r>
          </w:p>
        </w:tc>
        <w:tc>
          <w:tcPr>
            <w:vAlign w:val="center"/>
          </w:tcPr>
          <w:p>
            <w:pPr>
              <w:pStyle w:val="MDPI42tablebody"/>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rPr>
          <w:cantSplit/>
        </w:trPr>
        <w:tc>
          <w:tcPr>
            <w:vAlign w:val="center"/>
          </w:tcPr>
          <w:p>
            <w:pPr>
              <w:pStyle w:val="MDPI42tablebody"/>
              <w:jc w:val="center"/>
            </w:pPr>
            <w:r>
              <w:rPr>
                <w:rStyle w:val="VerbatimChar"/>
              </w:rPr>
              <w:t xml:space="preserve">sindy_mpc_dense</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rPr>
          <w:cantSplit/>
        </w:trPr>
        <w:tc>
          <w:tcPr>
            <w:vAlign w:val="center"/>
          </w:tcPr>
          <w:p>
            <w:pPr>
              <w:pStyle w:val="MDPI42tablebody"/>
              <w:jc w:val="center"/>
            </w:pPr>
            <w:r>
              <w:rPr>
                <w:rStyle w:val="VerbatimChar"/>
              </w:rPr>
              <w:t xml:space="preserve">sindy_mpc_lowthr</w:t>
            </w:r>
          </w:p>
        </w:tc>
        <w:tc>
          <w:tcPr>
            <w:vAlign w:val="center"/>
          </w:tcPr>
          <w:p>
            <w:pPr>
              <w:pStyle w:val="MDPI42tablebody"/>
              <w:jc w:val="center"/>
            </w:pPr>
            <w:r>
              <w:t xml:space="preserve">SINDy-MPC</w:t>
            </w:r>
          </w:p>
        </w:tc>
        <w:tc>
          <w:tcPr>
            <w:vAlign w:val="center"/>
          </w:tcPr>
          <w:p>
            <w:pPr>
              <w:pStyle w:val="MDPI42tablebody"/>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rPr>
          <w:cantSplit/>
        </w:trPr>
        <w:tc>
          <w:tcPr>
            <w:vAlign w:val="center"/>
          </w:tcPr>
          <w:p>
            <w:pPr>
              <w:pStyle w:val="MDPI42tablebody"/>
              <w:jc w:val="center"/>
            </w:pPr>
            <w:r>
              <w:rPr>
                <w:rStyle w:val="VerbatimChar"/>
              </w:rPr>
              <w:t xml:space="preserve">sindy_mpc_conf_dagger</w:t>
            </w:r>
          </w:p>
        </w:tc>
        <w:tc>
          <w:tcPr>
            <w:vAlign w:val="center"/>
          </w:tcPr>
          <w:p>
            <w:pPr>
              <w:pStyle w:val="MDPI42tablebody"/>
              <w:jc w:val="center"/>
            </w:pPr>
            <w:r>
              <w:t xml:space="preserve">SINDy-MPC</w:t>
            </w:r>
          </w:p>
        </w:tc>
        <w:tc>
          <w:tcPr>
            <w:vAlign w:val="center"/>
          </w:tcPr>
          <w:p>
            <w:pPr>
              <w:pStyle w:val="MDPI42tablebody"/>
              <w:jc w:val="left"/>
            </w:pPr>
            <w:r>
              <w:rPr>
                <w:rStyle w:val="VerbatimChar"/>
              </w:rPr>
              <w:t xml:space="preserve">conf</w:t>
            </w:r>
            <w:r>
              <w:t xml:space="preserve"> </w:t>
            </w:r>
            <w:r>
              <w:t xml:space="preserve">plus on-policy re-identification</w:t>
            </w:r>
          </w:p>
        </w:tc>
      </w:tr>
      <w:tr>
        <w:trPr>
          <w:cantSplit/>
        </w:trPr>
        <w:tc>
          <w:tcPr>
            <w:vAlign w:val="center"/>
          </w:tcPr>
          <w:p>
            <w:pPr>
              <w:pStyle w:val="MDPI42tablebody"/>
              <w:jc w:val="center"/>
            </w:pPr>
            <w:r>
              <w:rPr>
                <w:rStyle w:val="VerbatimChar"/>
              </w:rPr>
              <w:t xml:space="preserve">sindy_mpc_dense_dagger</w:t>
            </w:r>
          </w:p>
        </w:tc>
        <w:tc>
          <w:tcPr>
            <w:vAlign w:val="center"/>
          </w:tcPr>
          <w:p>
            <w:pPr>
              <w:pStyle w:val="MDPI42tablebody"/>
              <w:jc w:val="center"/>
            </w:pPr>
            <w:r>
              <w:t xml:space="preserve">SINDy-MPC</w:t>
            </w:r>
          </w:p>
        </w:tc>
        <w:tc>
          <w:tcPr>
            <w:vAlign w:val="center"/>
          </w:tcPr>
          <w:p>
            <w:pPr>
              <w:pStyle w:val="MDPI42tablebody"/>
              <w:jc w:val="left"/>
            </w:pPr>
            <w:r>
              <w:rPr>
                <w:rStyle w:val="VerbatimChar"/>
              </w:rPr>
              <w:t xml:space="preserve">dense</w:t>
            </w:r>
            <w:r>
              <w:t xml:space="preserve"> </w:t>
            </w:r>
            <w:r>
              <w:t xml:space="preserve">plus on-policy re-identification</w:t>
            </w:r>
          </w:p>
        </w:tc>
      </w:tr>
      <w:tr>
        <w:trPr>
          <w:cantSplit/>
        </w:trPr>
        <w:tc>
          <w:tcPr>
            <w:vAlign w:val="center"/>
          </w:tcPr>
          <w:p>
            <w:pPr>
              <w:pStyle w:val="MDPI42tablebody"/>
              <w:jc w:val="center"/>
            </w:pPr>
            <w:r>
              <w:rPr>
                <w:rStyle w:val="VerbatimChar"/>
              </w:rPr>
              <w:t xml:space="preserve">nn_mpc</w:t>
            </w:r>
          </w:p>
        </w:tc>
        <w:tc>
          <w:tcPr>
            <w:vAlign w:val="center"/>
          </w:tcPr>
          <w:p>
            <w:pPr>
              <w:pStyle w:val="MDPI42tablebody"/>
              <w:jc w:val="center"/>
            </w:pPr>
            <w:r>
              <w:t xml:space="preserve">neural MPC</w:t>
            </w:r>
          </w:p>
        </w:tc>
        <w:tc>
          <w:tcPr>
            <w:vAlign w:val="center"/>
          </w:tcPr>
          <w:p>
            <w:pPr>
              <w:pStyle w:val="MDPI42tablebody"/>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rPr>
          <w:cantSplit/>
        </w:trPr>
        <w:tc>
          <w:tcPr>
            <w:vAlign w:val="center"/>
          </w:tcPr>
          <w:p>
            <w:pPr>
              <w:pStyle w:val="MDPI42tablebody"/>
              <w:jc w:val="center"/>
            </w:pPr>
            <w:r>
              <w:rPr>
                <w:rStyle w:val="VerbatimChar"/>
              </w:rPr>
              <w:t xml:space="preserve">ppo</w:t>
            </w:r>
            <w:r>
              <w:t xml:space="preserve">,</w:t>
            </w:r>
            <w:r>
              <w:t xml:space="preserve"> </w:t>
            </w:r>
            <w:r>
              <w:rPr>
                <w:rStyle w:val="VerbatimChar"/>
              </w:rPr>
              <w:t xml:space="preserve">sac</w:t>
            </w:r>
          </w:p>
        </w:tc>
        <w:tc>
          <w:tcPr>
            <w:vAlign w:val="center"/>
          </w:tcPr>
          <w:p>
            <w:pPr>
              <w:pStyle w:val="MDPI42tablebody"/>
              <w:jc w:val="center"/>
            </w:pPr>
            <w:r>
              <w:t xml:space="preserve">reinforcement learning</w:t>
            </w:r>
          </w:p>
        </w:tc>
        <w:tc>
          <w:tcPr>
            <w:vAlign w:val="center"/>
          </w:tcPr>
          <w:p>
            <w:pPr>
              <w:pStyle w:val="MDPI42tablebody"/>
              <w:jc w:val="left"/>
            </w:pPr>
            <w:r>
              <w:t xml:space="preserve">PPO [27] and SAC [28] from Stable-Baselines3 [29],</w:t>
            </w:r>
            <w:r>
              <w:t xml:space="preserve"> </w:t>
            </w:r>
            <m:oMath>
              <m:r>
                <m:t>2</m:t>
              </m:r>
              <m:r>
                <m:rPr>
                  <m:sty m:val="p"/>
                </m:rPr>
                <m:t>⋅</m:t>
              </m:r>
              <m:sSup>
                <m:e>
                  <m:r>
                    <m:t>10</m:t>
                  </m:r>
                </m:e>
                <m:sup>
                  <m:r>
                    <m:t>5</m:t>
                  </m:r>
                </m:sup>
              </m:sSup>
            </m:oMath>
            <w:r>
              <w:t xml:space="preserve"> </w:t>
            </w:r>
            <w:r>
              <w:t xml:space="preserve">environment steps</w:t>
            </w:r>
          </w:p>
        </w:tc>
      </w:tr>
      <w:tr>
        <w:trPr>
          <w:cantSplit/>
        </w:trPr>
        <w:tc>
          <w:tcPr>
            <w:vAlign w:val="center"/>
          </w:tcPr>
          <w:p>
            <w:pPr>
              <w:pStyle w:val="MDPI42tablebody"/>
              <w:jc w:val="center"/>
            </w:pPr>
            <w:r>
              <w:rPr>
                <w:rStyle w:val="VerbatimChar"/>
              </w:rPr>
              <w:t xml:space="preserve">oracle_mpc</w:t>
            </w:r>
          </w:p>
        </w:tc>
        <w:tc>
          <w:tcPr>
            <w:vAlign w:val="center"/>
          </w:tcPr>
          <w:p>
            <w:pPr>
              <w:pStyle w:val="MDPI42tablebody"/>
              <w:jc w:val="center"/>
            </w:pPr>
            <w:r>
              <w:t xml:space="preserve">idealised</w:t>
            </w:r>
          </w:p>
        </w:tc>
        <w:tc>
          <w:tcPr>
            <w:vAlign w:val="center"/>
          </w:tcPr>
          <w:p>
            <w:pPr>
              <w:pStyle w:val="MDPI42tablebody"/>
              <w:jc w:val="left"/>
            </w:pPr>
            <w:r>
              <w:t xml:space="preserve">cross-entropy planning directly on the simulator integrator: 48 candidate sequences, 2 refinement iterations, elite fraction 0.2</w:t>
            </w:r>
          </w:p>
        </w:tc>
      </w:tr>
    </w:tbl>
    <w:bookmarkEnd w:id="30"/>
    <w:p>
      <w:pPr>
        <w:pStyle w:val="MDPI31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w:t>
      </w:r>
      <w:r>
        <w:t xml:space="preserve"> </w:t>
      </w:r>
      <w:r>
        <w:rPr>
          <w:i/>
          <w:iCs/>
        </w:rPr>
        <w:t xml:space="preserve">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w:t>
      </w:r>
      <w:r>
        <w:t xml:space="preserve"> </w:t>
      </w:r>
      <w:r>
        <w:rPr>
          <w:i/>
          <w:iCs/>
        </w:rPr>
        <w:t xml:space="preserve">between</w:t>
      </w:r>
      <w:r>
        <w:t xml:space="preserve"> </w:t>
      </w:r>
      <w:r>
        <w:t xml:space="preserve">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budget the reinforcement-learning controllers are recorded as having received in the</w:t>
      </w:r>
      <w:r>
        <w:t xml:space="preserve"> </w:t>
      </w:r>
      <w:r>
        <w:t xml:space="preserve">earlier pipeline, so the reference is not an unsearched baseline. That match is a stated</w:t>
      </w:r>
      <w:r>
        <w:t xml:space="preserve"> </w:t>
      </w:r>
      <w:r>
        <w:t xml:space="preserve">budget, not a measured one: here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w:t>
      </w:r>
      <w:r>
        <w:t xml:space="preserve"> </w:t>
      </w:r>
      <w:r>
        <w:rPr>
          <w:i/>
          <w:iCs/>
        </w:rPr>
        <w:t xml:space="preserve">not</w:t>
      </w:r>
      <w:r>
        <w:t xml:space="preserve"> </w:t>
      </w:r>
      <w:r>
        <w:t xml:space="preserve">tuned for any predictive controller either; that asymmetry runs</w:t>
      </w:r>
      <w:r>
        <w:t xml:space="preserve"> </w:t>
      </w:r>
      <w:r>
        <w:t xml:space="preserve">against the MPC family and is disclosed in the Discussion.</w:t>
      </w:r>
    </w:p>
    <w:bookmarkEnd w:id="31"/>
    <w:bookmarkStart w:id="32" w:name="sec:sindy"/>
    <w:p>
      <w:pPr>
        <w:pStyle w:val="MDPI22heading2"/>
        <w:keepNext/>
      </w:pPr>
      <w:r>
        <w:t xml:space="preserve">2.4. </w:t>
      </w:r>
      <w:r>
        <w:t xml:space="preserve">Feature libraries and sparse identification</w:t>
      </w:r>
    </w:p>
    <w:p>
      <w:pPr>
        <w:pStyle w:val="MDPI31text"/>
      </w:pPr>
      <w:r>
        <w:t xml:space="preserve">Sparse regression [7–9] recovers an explicit</w:t>
      </w:r>
      <w:r>
        <w:t xml:space="preserve"> </w:t>
      </w:r>
      <w:r>
        <w:t xml:space="preserve">discrete one-step map</w:t>
      </w:r>
    </w:p>
    <w:tbl xmlns:w14="http://schemas.microsoft.com/office/word/2010/wordml">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[10].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2"/>
    <w:bookmarkStart w:id="33" w:name="sec:ladder"/>
    <w:p>
      <w:pPr>
        <w:pStyle w:val="MDPI22heading2"/>
        <w:keepNext/>
      </w:pPr>
      <w:r>
        <w:t xml:space="preserve">2.5. </w:t>
      </w:r>
      <w:r>
        <w:t xml:space="preserve">Identification ladder and pre-registered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pre-registration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An earlier harness passed the rollout horizons in days rather than steps, inflating</w:t>
      </w:r>
      <w:r>
        <w:t xml:space="preserve"> </w:t>
      </w:r>
      <w:r>
        <w:t xml:space="preserve">the divergence fraction of divergence-prone configurations; only the recomputed ladder is</w:t>
      </w:r>
      <w:r>
        <w:t xml:space="preserve"> </w:t>
      </w:r>
      <w:r>
        <w:t xml:space="preserve">used here.</w:t>
      </w:r>
    </w:p>
    <w:bookmarkEnd w:id="33"/>
    <w:bookmarkStart w:id="34" w:name="sec:mpc"/>
    <w:p>
      <w:pPr>
        <w:pStyle w:val="MDPI22heading2"/>
        <w:keepNext/>
      </w:pPr>
      <w:r>
        <w:t xml:space="preserve">2.6. </w:t>
      </w:r>
      <w:r>
        <w:t xml:space="preserve">MPC formulation and stage cost</w:t>
      </w:r>
    </w:p>
    <w:p>
      <w:pPr>
        <w:pStyle w:val="MDPI31text"/>
      </w:pPr>
      <w:r>
        <w:t xml:space="preserve">The explicit form of Equation </w:t>
      </w:r>
      <w:hyperlink w:anchor="eq:sindy">
        <w:r>
          <w:rPr>
            <w:rStyle w:val="Hyperlink"/>
          </w:rPr>
          <w:t>(2)</w:t>
        </w:r>
      </w:hyperlink>
      <w:r>
        <w:t xml:space="preserve"> </w:t>
      </w:r>
      <w:r>
        <w:t xml:space="preserve">allows it to be embedded analytically in a</w:t>
      </w:r>
      <w:r>
        <w:t xml:space="preserve"> </w:t>
      </w:r>
      <w:r>
        <w:t xml:space="preserve">finite-horizon optimal control problem [4]:</w:t>
      </w:r>
    </w:p>
    <w:tbl xmlns:w14="http://schemas.microsoft.com/office/word/2010/wordml">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[35] through do-mpc [36]),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The resource term</w:t>
      </w:r>
      <w:r>
        <w:t xml:space="preserve"> </w:t>
      </w:r>
      <m:oMath>
        <m:sSub>
          <m:e>
            <m:r>
              <m:t>ℓ</m:t>
            </m:r>
          </m:e>
          <m:sub>
            <m:r>
              <m:rPr>
                <m:sty m:val="p"/>
              </m:rPr>
              <m:t>r</m:t>
            </m:r>
            <m:r>
              <m:rPr>
                <m:sty m:val="p"/>
              </m:rPr>
              <m:t>e</m:t>
            </m:r>
            <m:r>
              <m:rPr>
                <m:sty m:val="p"/>
              </m:rPr>
              <m:t>s</m:t>
            </m:r>
          </m:sub>
        </m:sSub>
      </m:oMath>
      <w:r>
        <w:t xml:space="preserve"> </w:t>
      </w:r>
      <w:r>
        <w:t xml:space="preserve">of Equation </w:t>
      </w:r>
      <w:hyperlink w:anchor="eq:mpc">
        <w:r>
          <w:rPr>
            <w:rStyle w:val="Hyperlink"/>
          </w:rPr>
          <w:t>(3)</w:t>
        </w:r>
      </w:hyperlink>
      <w:r>
        <w:t xml:space="preserve"> </w:t>
      </w:r>
      <w:r>
        <w:t xml:space="preserve">required correction,</w:t>
      </w:r>
      <w:r>
        <w:t xml:space="preserve"> </w:t>
      </w:r>
      <w:r>
        <w:t xml:space="preserve">and this is a methodological change rather than a tuning choice. Its default weights,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penalise the boiler twice as</w:t>
      </w:r>
      <w:r>
        <w:t xml:space="preserve"> </w:t>
      </w:r>
      <w:r>
        <w:t xml:space="preserve">hard as the lamps. Dividing the logged cost columns by the logged actuator sums in</w:t>
      </w:r>
      <w:r>
        <w:t xml:space="preserve"> </w:t>
      </w:r>
      <w:r>
        <w:rPr>
          <w:rStyle w:val="VerbatimChar"/>
        </w:rPr>
        <w:t xml:space="preserve">regen/results/final/main.csv</w:t>
      </w:r>
      <w:r>
        <w:t xml:space="preserve"> </w:t>
      </w:r>
      <w:r>
        <w:t xml:space="preserve">gives a marginal cost per unit of accumulated</w:t>
      </w:r>
      <w:r>
        <w:t xml:space="preserve"> </w:t>
      </w:r>
      <w:r>
        <w:t xml:space="preserve">normalised control of 0.00293, 0.00870 and 0.00135 EUR respectively — ratios</w:t>
      </w:r>
      <w:r>
        <w:t xml:space="preserve"> </w:t>
      </w:r>
      <m:oMath>
        <m:r>
          <m:t>1</m:t>
        </m:r>
        <m:r>
          <m:rPr>
            <m:sty m:val="p"/>
          </m:rPr>
          <m:t>:</m:t>
        </m:r>
        <m:r>
          <m:t>2.97</m:t>
        </m:r>
        <m:r>
          <m:rPr>
            <m:sty m:val="p"/>
          </m:rPr>
          <m:t>:</m:t>
        </m:r>
        <m:r>
          <m:t>0.46</m:t>
        </m:r>
      </m:oMath>
      <w:r>
        <w:t xml:space="preserve"> </w:t>
      </w:r>
      <w:r>
        <w:t xml:space="preserve">against the default</w:t>
      </w:r>
      <w:r>
        <w:t xml:space="preserve"> </w:t>
      </w:r>
      <m:oMath>
        <m:r>
          <m:t>1</m:t>
        </m:r>
        <m:r>
          <m:rPr>
            <m:sty m:val="p"/>
          </m:rPr>
          <m:t>:</m:t>
        </m:r>
        <m:r>
          <m:t>0.5</m:t>
        </m:r>
        <m:r>
          <m:rPr>
            <m:sty m:val="p"/>
          </m:rPr>
          <m:t>:</m:t>
        </m:r>
        <m:r>
          <m:t>0.1</m:t>
        </m:r>
      </m:oMath>
      <w:r>
        <w:t xml:space="preserve">, so the most expensive actuator was the</w:t>
      </w:r>
      <w:r>
        <w:t xml:space="preserve"> </w:t>
      </w:r>
      <w:r>
        <w:t xml:space="preserve">least penalised. A</w:t>
      </w:r>
      <w:r>
        <w:t xml:space="preserve"> </w:t>
      </w:r>
      <w:r>
        <w:rPr>
          <w:rStyle w:val="VerbatimChar"/>
        </w:rPr>
        <w:t xml:space="preserve">priced</w:t>
      </w:r>
      <w:r>
        <w:t xml:space="preserve"> </w:t>
      </w:r>
      <w:r>
        <w:t xml:space="preserve">variant restores the measured ratios,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the default 32.0. The corridor term is untouched, so the</w:t>
      </w:r>
      <w:r>
        <w:t xml:space="preserve"> </w:t>
      </w:r>
      <w:r>
        <w:rPr>
          <w:i/>
          <w:iCs/>
        </w:rPr>
        <w:t xml:space="preserve">only</w:t>
      </w:r>
      <w:r>
        <w:t xml:space="preserve"> </w:t>
      </w:r>
      <w:r>
        <w:t xml:space="preserve">factor that changes is the relative weighting of the actuators, not the</w:t>
      </w:r>
      <w:r>
        <w:t xml:space="preserve"> </w:t>
      </w:r>
      <w:r>
        <w:t xml:space="preserve">energy/corridor balance. The correction is bounded by the harness, and the bound is stated</w:t>
      </w:r>
      <w:r>
        <w:t xml:space="preserve"> </w:t>
      </w:r>
      <w:r>
        <w:t xml:space="preserve">rather than left to be inferred: the objective switch reaches only the main closed-loop</w:t>
      </w:r>
      <w:r>
        <w:t xml:space="preserve"> </w:t>
      </w:r>
      <w:r>
        <w:t xml:space="preserve">comparison and the mechanism block. Every supporting block — unseen seasons, the</w:t>
      </w:r>
      <w:r>
        <w:t xml:space="preserve"> </w:t>
      </w:r>
      <w:r>
        <w:t xml:space="preserve">shortened horizon, the bootstrap-draw axis, the design and sensitivity sweeps, adaptation,</w:t>
      </w:r>
      <w:r>
        <w:t xml:space="preserve"> </w:t>
      </w:r>
      <w:r>
        <w:t xml:space="preserve">the safety guard, fault injection — calls its rollouts with the default stage cost</w:t>
      </w:r>
      <w:r>
        <w:t xml:space="preserve"> </w:t>
      </w:r>
      <w:r>
        <w:t xml:space="preserve">hard-coded, so those results are default-objective whatever directory they were written to,</w:t>
      </w:r>
      <w:r>
        <w:t xml:space="preserve"> </w:t>
      </w:r>
      <w:r>
        <w:t xml:space="preserve">and the coefficient- and threshold-sensitivity analyses have never been measured under the</w:t>
      </w:r>
      <w:r>
        <w:t xml:space="preserve"> </w:t>
      </w:r>
      <w:r>
        <w:t xml:space="preserve">priced weights.</w:t>
      </w:r>
    </w:p>
    <w:bookmarkEnd w:id="34"/>
    <w:bookmarkStart w:id="36" w:name="sec:rbtune"/>
    <w:p>
      <w:pPr>
        <w:pStyle w:val="MDPI22heading2"/>
        <w:keepNext/>
      </w:pPr>
      <w:r>
        <w:t xml:space="preserve">2.7. </w:t>
      </w:r>
      <w:r>
        <w:t xml:space="preserve">Rule-based reference and its tuning</w:t>
      </w:r>
    </w:p>
    <w:p>
      <w:pPr>
        <w:pStyle w:val="MDPI31text"/>
      </w:pPr>
      <w:r>
        <w:t xml:space="preserve">Reporting a reference as</w:t>
      </w:r>
      <w:r>
        <w:t xml:space="preserve"> </w:t>
      </w:r>
      <w:r>
        <w:t xml:space="preserve">“tuned”</w:t>
      </w:r>
      <w:r>
        <w:t xml:space="preserve"> </w:t>
      </w:r>
      <w:r>
        <w:t xml:space="preserve">when it was not is exactly the weak-baseline defect</w:t>
      </w:r>
      <w:r>
        <w:t xml:space="preserve"> </w:t>
      </w:r>
      <w:r>
        <w:t xml:space="preserve">this paper criticises in the literature, so the heuristic was given a 16-trial search</w:t>
      </w:r>
      <w:r>
        <w:t xml:space="preserve"> </w:t>
      </w:r>
      <w:r>
        <w:t xml:space="preserve">budget (Table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5" w:name="tab:rbtune"/>
    <w:p>
      <w:pPr>
        <w:pStyle w:val="MDPI41tablecaption"/>
        <w:keepNext/>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dxa" w:w="7920"/>
        <w:tblLook w:firstRow="1" w:lastRow="0" w:firstColumn="0" w:lastColumn="0" w:noHBand="0" w:noVBand="0" w:val="0020"/>
        <w:tblCaption w:val="Rule-based setpoint search. Ranges, hard-coded values and the selected configuration. Source: regen/results/n2_tune/tune_rb_n2.csv."/>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980"/>
        <w:gridCol w:w="1980"/>
        <w:gridCol w:w="1980"/>
        <w:gridCol w:w="1980"/>
      </w:tblGrid>
      <w:tr>
        <w:trPr>
          <w:tblHeader w:val="on"/>
          <w:cantSplit/>
        </w:trPr>
        <w:tc>
          <w:tcPr>
            <w:vAlign w:val="center"/>
            <w:tcBorders>
              <w:bottom w:val="single" w:sz="8" w:space="0" w:color="000000"/>
            </w:tcBorders>
          </w:tcPr>
          <w:p>
            <w:pPr>
              <w:pStyle w:val="MDPI42tablebody"/>
              <w:jc w:val="center"/>
            </w:pPr>
            <w:r>
              <w:rPr>
                <w:b/>
              </w:rPr>
              <w:t xml:space="preserve">Setpoint</w:t>
            </w:r>
          </w:p>
        </w:tc>
        <w:tc>
          <w:tcPr>
            <w:vAlign w:val="center"/>
            <w:tcBorders>
              <w:bottom w:val="single" w:sz="8" w:space="0" w:color="000000"/>
            </w:tcBorders>
          </w:tcPr>
          <w:p>
            <w:pPr>
              <w:pStyle w:val="MDPI42tablebody"/>
              <w:jc w:val="center"/>
            </w:pPr>
            <w:r>
              <w:rPr>
                <w:b/>
              </w:rPr>
              <w:t xml:space="preserve">Range searched</w:t>
            </w:r>
          </w:p>
        </w:tc>
        <w:tc>
          <w:tcPr>
            <w:vAlign w:val="center"/>
            <w:tcBorders>
              <w:bottom w:val="single" w:sz="8" w:space="0" w:color="000000"/>
            </w:tcBorders>
          </w:tcPr>
          <w:p>
            <w:pPr>
              <w:pStyle w:val="MDPI42tablebody"/>
              <w:jc w:val="center"/>
            </w:pPr>
            <w:r>
              <w:rPr>
                <w:b/>
              </w:rPr>
              <w:t xml:space="preserve">Hard-coded</w:t>
            </w:r>
          </w:p>
        </w:tc>
        <w:tc>
          <w:tcPr>
            <w:vAlign w:val="center"/>
            <w:tcBorders>
              <w:bottom w:val="single" w:sz="8" w:space="0" w:color="000000"/>
            </w:tcBorders>
          </w:tcPr>
          <w:p>
            <w:pPr>
              <w:pStyle w:val="MDPI42tablebody"/>
              <w:jc w:val="center"/>
            </w:pPr>
            <w:r>
              <w:rPr>
                <w:b/>
              </w:rPr>
              <w:t xml:space="preserve">Selected</w:t>
            </w:r>
          </w:p>
        </w:tc>
      </w:tr>
      <w:tr>
        <w:trPr>
          <w:cantSplit/>
        </w:trPr>
        <w:tc>
          <w:tcPr>
            <w:vAlign w:val="center"/>
          </w:tcPr>
          <w:p>
            <w:pPr>
              <w:pStyle w:val="MDPI42tablebody"/>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jc w:val="center"/>
            </w:pPr>
            <w:r>
              <w:t xml:space="preserve">17.0–23.0</w:t>
            </w:r>
          </w:p>
        </w:tc>
        <w:tc>
          <w:tcPr>
            <w:vAlign w:val="center"/>
          </w:tcPr>
          <w:p>
            <w:pPr>
              <w:pStyle w:val="MDPI42tablebody"/>
              <w:jc w:val="center"/>
            </w:pPr>
            <w:r>
              <w:t xml:space="preserve">19.5</w:t>
            </w:r>
          </w:p>
        </w:tc>
        <w:tc>
          <w:tcPr>
            <w:vAlign w:val="center"/>
          </w:tcPr>
          <w:p>
            <w:pPr>
              <w:pStyle w:val="MDPI42tablebody"/>
              <w:jc w:val="center"/>
            </w:pPr>
            <w:r>
              <w:t xml:space="preserve">22.92</w:t>
            </w:r>
          </w:p>
        </w:tc>
      </w:tr>
      <w:tr>
        <w:trPr>
          <w:cantSplit/>
        </w:trPr>
        <w:tc>
          <w:tcPr>
            <w:vAlign w:val="center"/>
          </w:tcPr>
          <w:p>
            <w:pPr>
              <w:pStyle w:val="MDPI42tablebody"/>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jc w:val="center"/>
            </w:pPr>
            <w:r>
              <w:t xml:space="preserve">14.0–20.0</w:t>
            </w:r>
          </w:p>
        </w:tc>
        <w:tc>
          <w:tcPr>
            <w:vAlign w:val="center"/>
          </w:tcPr>
          <w:p>
            <w:pPr>
              <w:pStyle w:val="MDPI42tablebody"/>
              <w:jc w:val="center"/>
            </w:pPr>
            <w:r>
              <w:t xml:space="preserve">16.5</w:t>
            </w:r>
          </w:p>
        </w:tc>
        <w:tc>
          <w:tcPr>
            <w:vAlign w:val="center"/>
          </w:tcPr>
          <w:p>
            <w:pPr>
              <w:pStyle w:val="MDPI42tablebody"/>
              <w:jc w:val="center"/>
            </w:pPr>
            <w:r>
              <w:t xml:space="preserve">14.38</w:t>
            </w:r>
          </w:p>
        </w:tc>
      </w:tr>
      <w:tr>
        <w:trPr>
          <w:cantSplit/>
        </w:trPr>
        <w:tc>
          <w:tcPr>
            <w:vAlign w:val="center"/>
          </w:tcPr>
          <w:p>
            <w:pPr>
              <w:pStyle w:val="MDPI42tablebody"/>
              <w:jc w:val="center"/>
            </w:pPr>
            <w:r>
              <w:rPr>
                <w:rStyle w:val="VerbatimChar"/>
              </w:rPr>
              <w:t xml:space="preserve">co2_day</w:t>
            </w:r>
            <w:r>
              <w:t xml:space="preserve"> </w:t>
            </w:r>
            <w:r>
              <w:t xml:space="preserve">(ppm)</w:t>
            </w:r>
          </w:p>
        </w:tc>
        <w:tc>
          <w:tcPr>
            <w:vAlign w:val="center"/>
          </w:tcPr>
          <w:p>
            <w:pPr>
              <w:pStyle w:val="MDPI42tablebody"/>
              <w:jc w:val="center"/>
            </w:pPr>
            <w:r>
              <w:t xml:space="preserve">400–1200</w:t>
            </w:r>
          </w:p>
        </w:tc>
        <w:tc>
          <w:tcPr>
            <w:vAlign w:val="center"/>
          </w:tcPr>
          <w:p>
            <w:pPr>
              <w:pStyle w:val="MDPI42tablebody"/>
              <w:jc w:val="center"/>
            </w:pPr>
            <w:r>
              <w:t xml:space="preserve">800</w:t>
            </w:r>
          </w:p>
        </w:tc>
        <w:tc>
          <w:tcPr>
            <w:vAlign w:val="center"/>
          </w:tcPr>
          <w:p>
            <w:pPr>
              <w:pStyle w:val="MDPI42tablebody"/>
              <w:jc w:val="center"/>
            </w:pPr>
            <w:r>
              <w:t xml:space="preserve">828.26</w:t>
            </w:r>
          </w:p>
        </w:tc>
      </w:tr>
      <w:tr>
        <w:trPr>
          <w:cantSplit/>
        </w:trPr>
        <w:tc>
          <w:tcPr>
            <w:vAlign w:val="center"/>
          </w:tcPr>
          <w:p>
            <w:pPr>
              <w:pStyle w:val="MDPI42tablebody"/>
              <w:jc w:val="center"/>
            </w:pPr>
            <w:r>
              <w:rPr>
                <w:rStyle w:val="VerbatimChar"/>
              </w:rPr>
              <w:t xml:space="preserve">lamp_rad_sum_limit</w:t>
            </w:r>
          </w:p>
        </w:tc>
        <w:tc>
          <w:tcPr>
            <w:vAlign w:val="center"/>
          </w:tcPr>
          <w:p>
            <w:pPr>
              <w:pStyle w:val="MDPI42tablebody"/>
              <w:jc w:val="center"/>
            </w:pPr>
            <w:r>
              <w:t xml:space="preserve">5.0–25.0</w:t>
            </w:r>
          </w:p>
        </w:tc>
        <w:tc>
          <w:tcPr>
            <w:vAlign w:val="center"/>
          </w:tcPr>
          <w:p>
            <w:pPr>
              <w:pStyle w:val="MDPI42tablebody"/>
              <w:jc w:val="center"/>
            </w:pPr>
            <w:r>
              <w:t xml:space="preserve">10</w:t>
            </w:r>
          </w:p>
        </w:tc>
        <w:tc>
          <w:tcPr>
            <w:vAlign w:val="center"/>
          </w:tcPr>
          <w:p>
            <w:pPr>
              <w:pStyle w:val="MDPI42tablebody"/>
              <w:jc w:val="center"/>
            </w:pPr>
            <w:r>
              <w:t xml:space="preserve">7.62</w:t>
            </w:r>
          </w:p>
        </w:tc>
      </w:tr>
      <w:tr>
        <w:trPr>
          <w:cantSplit/>
        </w:trPr>
        <w:tc>
          <w:tcPr>
            <w:vAlign w:val="center"/>
          </w:tcPr>
          <w:p>
            <w:pPr>
              <w:pStyle w:val="MDPI42tablebody"/>
              <w:jc w:val="left"/>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1.937</m:t>
              </m:r>
            </m:oMath>
            <w:r>
              <w:t xml:space="preserve">​</w:t>
            </w:r>
          </w:p>
        </w:tc>
        <w:tc>
          <w:tcPr>
            <w:vAlign w:val="center"/>
          </w:tcPr>
          <w:p>
            <w:pPr>
              <w:pStyle w:val="MDPI42tablebody"/>
              <w:jc w:val="center"/>
            </w:pPr>
            <m:oMath>
              <m:r>
                <m:rPr>
                  <m:sty m:val="p"/>
                </m:rPr>
                <m:t>+</m:t>
              </m:r>
              <m:r>
                <m:t>0.920</m:t>
              </m:r>
            </m:oMath>
            <w:r>
              <w:t xml:space="preserve">​</w:t>
            </w:r>
          </w:p>
        </w:tc>
      </w:tr>
      <w:tr>
        <w:trPr>
          <w:cantSplit/>
        </w:trPr>
        <w:tc>
          <w:tcPr>
            <w:vAlign w:val="center"/>
          </w:tcPr>
          <w:p>
            <w:pPr>
              <w:pStyle w:val="MDPI42tablebody"/>
              <w:jc w:val="center"/>
            </w:pPr>
            <w:r>
              <w:t xml:space="preserve">Test</w:t>
            </w:r>
            <w:r>
              <w:t xml:space="preserve"> </w:t>
            </w:r>
            <m:oMath>
              <m:r>
                <m:t>J</m:t>
              </m:r>
            </m:oMath>
            <w:r>
              <w:t xml:space="preserve"> </w:t>
            </w:r>
            <w:r>
              <w:t xml:space="preserve">(mean 2020–2023, EUR/m</w:t>
            </w:r>
            <m:oMath>
              <m:sSup>
                <m:e>
                  <m:r>
                    <m:t>​</m:t>
                  </m:r>
                </m:e>
                <m:sup>
                  <m:r>
                    <m:t>2</m:t>
                  </m:r>
                </m:sup>
              </m:sSup>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1.226</m:t>
              </m:r>
            </m:oMath>
            <w:r>
              <w:t xml:space="preserve">​</w:t>
            </w:r>
          </w:p>
        </w:tc>
        <w:tc>
          <w:tcPr>
            <w:vAlign w:val="center"/>
          </w:tcPr>
          <w:p>
            <w:pPr>
              <w:pStyle w:val="MDPI42tablebody"/>
              <w:jc w:val="center"/>
            </w:pPr>
            <m:oMath>
              <m:r>
                <m:rPr>
                  <m:sty m:val="p"/>
                </m:rPr>
                <m:t>+</m:t>
              </m:r>
              <m:r>
                <m:t>2.261</m:t>
              </m:r>
            </m:oMath>
            <w:r>
              <w:t xml:space="preserve">​</w:t>
            </w:r>
          </w:p>
        </w:tc>
      </w:tr>
    </w:tbl>
    <w:bookmarkEnd w:id="35"/>
    <w:p>
      <w:pPr>
        <w:pStyle w:val="MDPI31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6"/>
    <w:bookmarkStart w:id="37" w:name="sec:stats"/>
    <w:p>
      <w:pPr>
        <w:pStyle w:val="MDPI22heading2"/>
        <w:keepNext/>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MDPI31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w:t>
      </w:r>
      <w:r>
        <w:t xml:space="preserve"> </w:t>
      </w:r>
      <w:r>
        <w:rPr>
          <w:i/>
          <w:iCs/>
        </w:rPr>
        <w:t xml:space="preserve">and</w:t>
      </w:r>
      <w:r>
        <w:t xml:space="preserve"> </w:t>
      </w:r>
      <w:r>
        <w:t xml:space="preserve">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MDPI31text"/>
      </w:pPr>
      <w:r>
        <w:t xml:space="preserve">Paired comparisons use the Wilcoxon signed-rank test [30] with Holm</w:t>
      </w:r>
      <w:r>
        <w:t xml:space="preserve"> </w:t>
      </w:r>
      <w:r>
        <w:t xml:space="preserve">correction [31].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[32,37]</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7"/>
    <w:bookmarkStart w:id="38" w:name="sec:repro"/>
    <w:p>
      <w:pPr>
        <w:pStyle w:val="MDPI22heading2"/>
        <w:keepNext/>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One caveat qualifies every reproducibility statement here, and it is a limit on what was</w:t>
      </w:r>
      <w:r>
        <w:t xml:space="preserve"> </w:t>
      </w:r>
      <w:r>
        <w:t xml:space="preserve">measured rather than a measurement. The self-test establishes bit-identity</w:t>
      </w:r>
      <w:r>
        <w:t xml:space="preserve"> </w:t>
      </w:r>
      <w:r>
        <w:rPr>
          <w:i/>
          <w:iCs/>
        </w:rPr>
        <w:t xml:space="preserve">within</w:t>
      </w:r>
      <w:r>
        <w:t xml:space="preserve"> </w:t>
      </w:r>
      <w:r>
        <w:t xml:space="preserve">one environment. Nothing in the results tree establishes it</w:t>
      </w:r>
      <w:r>
        <w:t xml:space="preserve"> </w:t>
      </w:r>
      <w:r>
        <w:rPr>
          <w:i/>
          <w:iCs/>
        </w:rPr>
        <w:t xml:space="preserve">across</w:t>
      </w:r>
      <w:r>
        <w:t xml:space="preserve"> </w:t>
      </w:r>
      <w:r>
        <w:t xml:space="preserve">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MDPI31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w:t>
      </w:r>
      <w:r>
        <w:t xml:space="preserve"> </w:t>
      </w:r>
      <w:r>
        <w:rPr>
          <w:i/>
          <w:iCs/>
        </w:rPr>
        <w:t xml:space="preserve">a priori</w:t>
      </w:r>
      <w:r>
        <w:t xml:space="preserve">.</w:t>
      </w:r>
      <w:r>
        <w:t xml:space="preserve"> </w:t>
      </w:r>
      <w:r>
        <w:t xml:space="preserve">The rule adopted here is therefore that a whole wave is regenerated in one environment</w:t>
      </w:r>
      <w:r>
        <w:t xml:space="preserve"> </w:t>
      </w:r>
      <w:r>
        <w:t xml:space="preserve">and is never mixed cell-by-cell with another for closed-loop numbers. That the</w:t>
      </w:r>
      <w:r>
        <w:t xml:space="preserve"> </w:t>
      </w:r>
      <w:r>
        <w:t xml:space="preserve">environment itself is not recorded in the manifests is a defect of this provenance</w:t>
      </w:r>
      <w:r>
        <w:t xml:space="preserve"> </w:t>
      </w:r>
      <w:r>
        <w:t xml:space="preserve">scheme, stated here so that it is not mistaken for a cross-platform guarantee: the</w:t>
      </w:r>
      <w:r>
        <w:t xml:space="preserve"> </w:t>
      </w:r>
      <w:r>
        <w:t xml:space="preserve">reproducibility claim is within-environment only.</w:t>
      </w:r>
    </w:p>
    <w:bookmarkEnd w:id="38"/>
    <w:bookmarkEnd w:id="39"/>
    <w:bookmarkStart w:id="74" w:name="sec:results"/>
    <w:p>
      <w:pPr>
        <w:pStyle w:val="MDPI21heading1"/>
        <w:keepNext/>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rPr>
          <w:i/>
          <w:iCs/>
        </w:rPr>
        <w:t xml:space="preserve">not</w:t>
      </w:r>
      <w:r>
        <w:t xml:space="preserve"> </w:t>
      </w:r>
      <w:r>
        <w:t xml:space="preserve">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w:t>
      </w:r>
      <w:r>
        <w:t xml:space="preserve"> </w:t>
      </w:r>
      <w:r>
        <w:rPr>
          <w:i/>
          <w:iCs/>
        </w:rPr>
        <w:t xml:space="preserve">priced</w:t>
      </w:r>
      <w:r>
        <w:t xml:space="preserve"> </w:t>
      </w:r>
      <w:r>
        <w:t xml:space="preserve">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5" w:name="sec:res-ladder"/>
    <w:p>
      <w:pPr>
        <w:pStyle w:val="MDPI22heading2"/>
        <w:keepNext/>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w:t>
      </w:r>
      <w:r>
        <w:t xml:space="preserve"> </w:t>
      </w:r>
      <w:r>
        <w:rPr>
          <w:i/>
          <w:iCs/>
        </w:rPr>
        <w:t xml:space="preserve">not</w:t>
      </w:r>
      <w:r>
        <w:t xml:space="preserve"> </w:t>
      </w:r>
      <w:r>
        <w:t xml:space="preserve">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w:t>
      </w:r>
      <w:r>
        <w:t xml:space="preserve"> </w:t>
      </w:r>
      <w:r>
        <w:rPr>
          <w:i/>
          <w:iCs/>
        </w:rPr>
        <w:t xml:space="preserve">the library with the best one-step accuracy</w:t>
      </w:r>
      <w:r>
        <w:rPr>
          <w:i/>
          <w:iCs/>
        </w:rPr>
        <w:t xml:space="preserve"> </w:t>
      </w:r>
      <w:r>
        <w:rPr>
          <w:i/>
          <w:iCs/>
        </w:rPr>
        <w:t xml:space="preserve">is the worst on every multi-step metric</w:t>
      </w:r>
      <w:r>
        <w:t xml:space="preserve">,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pre-registered gates (embeddable and diverged fraction</w:t>
      </w:r>
      <w:r>
        <w:t xml:space="preserve"> </w:t>
      </w:r>
      <m:oMath>
        <m:r>
          <m:rPr>
            <m:sty m:val="p"/>
          </m:rPr>
          <m:t>≤</m:t>
        </m:r>
        <m:r>
          <m:t>0.05</m:t>
        </m:r>
      </m:oMath>
      <w:r>
        <w:t xml:space="preserve">).</w:t>
      </w:r>
    </w:p>
    <w:p>
      <w:pPr>
        <w:pStyle w:val="MDPI31text"/>
      </w:pPr>
      <w:r>
        <w:t xml:space="preserve">The frozen recipe used in the earlier version of this work</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pre-registered axes: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pre-registered axes — 63rd of 72 on median rollout error, 64th on divergence</w:t>
      </w:r>
      <w:r>
        <w:t xml:space="preserve"> </w:t>
      </w:r>
      <w:r>
        <w:t xml:space="preserve">— and it is one of the 40 labels that</w:t>
      </w:r>
      <w:r>
        <w:t xml:space="preserve"> </w:t>
      </w:r>
      <w:r>
        <w:rPr>
          <w:i/>
          <w:iCs/>
        </w:rPr>
        <w:t xml:space="preserve">fail</w:t>
      </w:r>
      <w:r>
        <w:t xml:space="preserve"> </w:t>
      </w:r>
      <w:r>
        <w:t xml:space="preserve">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40" w:name="tab:ladder"/>
    <w:p>
      <w:pPr>
        <w:pStyle w:val="MDPI41tablecaption"/>
        <w:keepNext/>
      </w:pPr>
      <w:r>
        <w:rPr>
          <w:b/>
        </w:rPr>
        <w:t xml:space="preserve">Table 4. </w:t>
      </w: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dxa" w:w="792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131"/>
        <w:gridCol w:w="1131"/>
        <w:gridCol w:w="1131"/>
        <w:gridCol w:w="1131"/>
        <w:gridCol w:w="1131"/>
        <w:gridCol w:w="1131"/>
        <w:gridCol w:w="1131"/>
      </w:tblGrid>
      <w:tr>
        <w:trPr>
          <w:tblHeader/>
          <w:cantSplit/>
        </w:trPr>
        <w:tc>
          <w:tcPr>
            <w:vAlign w:val="center"/>
            <w:tcBorders>
              <w:bottom w:val="single" w:sz="8" w:space="0" w:color="000000"/>
            </w:tcBorders>
          </w:tcPr>
          <w:p>
            <w:pPr>
              <w:pStyle w:val="MDPI42tablebody"/>
              <w:jc w:val="center"/>
            </w:pPr>
            <w:r>
              <w:rPr>
                <w:b/>
              </w:rPr>
              <w:t xml:space="preserve">Library</w:t>
            </w:r>
          </w:p>
        </w:tc>
        <w:tc>
          <w:tcPr>
            <w:vAlign w:val="center"/>
            <w:tcBorders>
              <w:bottom w:val="single" w:sz="8" w:space="0" w:color="000000"/>
            </w:tcBorders>
          </w:tcPr>
          <w:p>
            <w:pPr>
              <w:pStyle w:val="MDPI42tablebody"/>
              <w:jc w:val="center"/>
            </w:pPr>
            <m:oMath>
              <m:r>
                <m:t>κ</m:t>
              </m:r>
            </m:oMath>
            <w:r>
              <w:rPr>
                <w:b/>
              </w:rPr>
              <w:t xml:space="preserve">​</w:t>
            </w:r>
          </w:p>
        </w:tc>
        <w:tc>
          <w:tcPr>
            <w:vAlign w:val="center"/>
            <w:tcBorders>
              <w:bottom w:val="single" w:sz="8" w:space="0" w:color="000000"/>
            </w:tcBorders>
          </w:tcPr>
          <w:p>
            <w:pPr>
              <w:pStyle w:val="MDPI42tablebody"/>
              <w:jc w:val="center"/>
            </w:pPr>
            <w:r>
              <w:rPr>
                <w:b/>
              </w:rPr>
              <w:t xml:space="preserve">Active</w:t>
            </w:r>
          </w:p>
        </w:tc>
        <w:tc>
          <w:tcPr>
            <w:vAlign w:val="center"/>
            <w:tcBorders>
              <w:bottom w:val="single" w:sz="8" w:space="0" w:color="000000"/>
            </w:tcBorders>
          </w:tcPr>
          <w:p>
            <w:pPr>
              <w:pStyle w:val="MDPI42tablebody"/>
              <w:jc w:val="center"/>
            </w:pPr>
            <w:r>
              <w:rPr>
                <w:b/>
              </w:rPr>
              <w:t xml:space="preserve">One-step</w:t>
            </w:r>
          </w:p>
        </w:tc>
        <w:tc>
          <w:tcPr>
            <w:vAlign w:val="center"/>
            <w:tcBorders>
              <w:bottom w:val="single" w:sz="8" w:space="0" w:color="000000"/>
            </w:tcBorders>
          </w:tcPr>
          <w:p>
            <w:pPr>
              <w:pStyle w:val="MDPI42tablebody"/>
              <w:jc w:val="center"/>
            </w:pPr>
            <w:r>
              <w:rPr>
                <w:b/>
              </w:rPr>
              <w:t xml:space="preserve">Rollout</w:t>
            </w:r>
          </w:p>
        </w:tc>
        <w:tc>
          <w:tcPr>
            <w:vAlign w:val="center"/>
            <w:tcBorders>
              <w:bottom w:val="single" w:sz="8" w:space="0" w:color="000000"/>
            </w:tcBorders>
          </w:tcPr>
          <w:p>
            <w:pPr>
              <w:pStyle w:val="MDPI42tablebody"/>
              <w:jc w:val="center"/>
            </w:pPr>
            <w:r>
              <w:rPr>
                <w:b/>
              </w:rPr>
              <w:t xml:space="preserve">Rollout</w:t>
            </w:r>
          </w:p>
        </w:tc>
        <w:tc>
          <w:tcPr>
            <w:vAlign w:val="center"/>
            <w:tcBorders>
              <w:bottom w:val="single" w:sz="8" w:space="0" w:color="000000"/>
            </w:tcBorders>
          </w:tcPr>
          <w:p>
            <w:pPr>
              <w:pStyle w:val="MDPI42tablebody"/>
              <w:jc w:val="center"/>
            </w:pPr>
            <w:r>
              <w:rPr>
                <w:b/>
              </w:rPr>
              <w:t xml:space="preserve">Diverged</w:t>
            </w:r>
          </w:p>
        </w:tc>
      </w:tr>
      <w:tr>
        <w:trPr>
          <w:cantSplit/>
        </w:trP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terms</w:t>
            </w:r>
          </w:p>
        </w:tc>
        <w:tc>
          <w:tcPr>
            <w:vAlign w:val="center"/>
          </w:tcPr>
          <w:p>
            <w:pPr>
              <w:pStyle w:val="MDPI42tablebody"/>
              <w:jc w:val="center"/>
            </w:pPr>
            <w:r>
              <w:t xml:space="preserve">RMSE (</w:t>
            </w:r>
            <m:oMath>
              <m:sSup>
                <m:e>
                  <m:r>
                    <m:t>​</m:t>
                  </m:r>
                </m:e>
                <m:sup>
                  <m:r>
                    <m:rPr>
                      <m:sty m:val="p"/>
                    </m:rPr>
                    <m:t>∘</m:t>
                  </m:r>
                </m:sup>
              </m:sSup>
            </m:oMath>
            <w:r>
              <w:t xml:space="preserve">C)</w:t>
            </w:r>
          </w:p>
        </w:tc>
        <w:tc>
          <w:tcPr>
            <w:vAlign w:val="center"/>
          </w:tcPr>
          <w:p>
            <w:pPr>
              <w:pStyle w:val="MDPI42tablebody"/>
              <w:jc w:val="center"/>
            </w:pPr>
            <w:r>
              <w:t xml:space="preserve">median (</w:t>
            </w:r>
            <m:oMath>
              <m:sSup>
                <m:e>
                  <m:r>
                    <m:t>​</m:t>
                  </m:r>
                </m:e>
                <m:sup>
                  <m:r>
                    <m:rPr>
                      <m:sty m:val="p"/>
                    </m:rPr>
                    <m:t>∘</m:t>
                  </m:r>
                </m:sup>
              </m:sSup>
            </m:oMath>
            <w:r>
              <w:t xml:space="preserve">C)</w:t>
            </w:r>
          </w:p>
        </w:tc>
        <w:tc>
          <w:tcPr>
            <w:vAlign w:val="center"/>
          </w:tcPr>
          <w:p>
            <w:pPr>
              <w:pStyle w:val="MDPI42tablebody"/>
              <w:jc w:val="center"/>
            </w:pPr>
            <w:r>
              <w:t xml:space="preserve">IQR</w:t>
            </w:r>
          </w:p>
        </w:tc>
        <w:tc>
          <w:tcPr>
            <w:vAlign w:val="center"/>
          </w:tcPr>
          <w:p>
            <w:pPr>
              <w:pStyle w:val="MDPI42tablebody"/>
              <w:jc w:val="center"/>
            </w:pPr>
            <w:r>
              <w:t xml:space="preserve">fraction</w:t>
            </w:r>
          </w:p>
        </w:tc>
      </w:tr>
      <w:tr>
        <w:trPr>
          <w:cantSplit/>
        </w:trPr>
        <w:tc>
          <w:tcPr>
            <w:gridSpan w:val="7"/>
            <w:vAlign w:val="center"/>
          </w:tcPr>
          <w:p>
            <w:pPr>
              <w:pStyle w:val="MDPI42tablebody"/>
              <w:jc w:val="center"/>
            </w:pPr>
            <w:r>
              <w:rPr>
                <w:i/>
                <w:iCs/>
              </w:rPr>
              <w:t xml:space="preserve">All four optimizer labels</w:t>
            </w:r>
          </w:p>
        </w:tc>
      </w:tr>
      <w:tr>
        <w:trPr>
          <w:cantSplit/>
        </w:trPr>
        <w:tc>
          <w:tcPr>
            <w:vAlign w:val="center"/>
          </w:tcPr>
          <w:p>
            <w:pPr>
              <w:pStyle w:val="MDPI42tablebody"/>
              <w:jc w:val="center"/>
            </w:pPr>
            <w:r>
              <w:rPr>
                <w:rStyle w:val="VerbatimChar"/>
              </w:rPr>
              <w:t xml:space="preserve">raw</w:t>
            </w:r>
          </w:p>
        </w:tc>
        <w:tc>
          <w:tcPr>
            <w:vAlign w:val="center"/>
          </w:tcPr>
          <w:p>
            <w:pPr>
              <w:pStyle w:val="MDPI42tablebody"/>
              <w:jc w:val="center"/>
            </w:pPr>
            <m:oMath>
              <m:r>
                <m:t>8.21</m:t>
              </m:r>
              <m:r>
                <m:rPr>
                  <m:sty m:val="p"/>
                </m:rPr>
                <m:t>±</m:t>
              </m:r>
              <m:r>
                <m:t>0.22</m:t>
              </m:r>
            </m:oMath>
            <w:r>
              <w:t xml:space="preserve">​</w:t>
            </w:r>
          </w:p>
        </w:tc>
        <w:tc>
          <w:tcPr>
            <w:vAlign w:val="center"/>
          </w:tcPr>
          <w:p>
            <w:pPr>
              <w:pStyle w:val="MDPI42tablebody"/>
              <w:jc w:val="center"/>
            </w:pPr>
            <w:r>
              <w:t xml:space="preserve">12.95</w:t>
            </w:r>
          </w:p>
        </w:tc>
        <w:tc>
          <w:tcPr>
            <w:vAlign w:val="center"/>
          </w:tcPr>
          <w:p>
            <w:pPr>
              <w:pStyle w:val="MDPI42tablebody"/>
              <w:jc w:val="center"/>
            </w:pPr>
            <w:r>
              <w:t xml:space="preserve">2.137</w:t>
            </w:r>
          </w:p>
        </w:tc>
        <w:tc>
          <w:tcPr>
            <w:vAlign w:val="center"/>
          </w:tcPr>
          <w:p>
            <w:pPr>
              <w:pStyle w:val="MDPI42tablebody"/>
              <w:jc w:val="center"/>
            </w:pPr>
            <w:r>
              <w:t xml:space="preserve">3.31</w:t>
            </w:r>
          </w:p>
        </w:tc>
        <w:tc>
          <w:tcPr>
            <w:vAlign w:val="center"/>
          </w:tcPr>
          <w:p>
            <w:pPr>
              <w:pStyle w:val="MDPI42tablebody"/>
              <w:jc w:val="center"/>
            </w:pPr>
            <w:r>
              <w:t xml:space="preserve">[2.67, 4.43]</w:t>
            </w:r>
          </w:p>
        </w:tc>
        <w:tc>
          <w:tcPr>
            <w:vAlign w:val="center"/>
          </w:tcPr>
          <w:p>
            <w:pPr>
              <w:pStyle w:val="MDPI42tablebody"/>
              <w:jc w:val="center"/>
            </w:pPr>
            <w:r>
              <w:t xml:space="preserve">0.000</w:t>
            </w:r>
          </w:p>
        </w:tc>
      </w:tr>
      <w:tr>
        <w:trPr>
          <w:cantSplit/>
        </w:trPr>
        <w:tc>
          <w:tcPr>
            <w:vAlign w:val="center"/>
          </w:tcPr>
          <w:p>
            <w:pPr>
              <w:pStyle w:val="MDPI42tablebody"/>
              <w:jc w:val="center"/>
            </w:pPr>
            <w:r>
              <w:rPr>
                <w:rStyle w:val="VerbatimChar"/>
              </w:rPr>
              <w:t xml:space="preserve">physics_no_cross</w:t>
            </w:r>
          </w:p>
        </w:tc>
        <w:tc>
          <w:tcPr>
            <w:vAlign w:val="center"/>
          </w:tcPr>
          <w:p>
            <w:pPr>
              <w:pStyle w:val="MDPI42tablebody"/>
              <w:jc w:val="center"/>
            </w:pPr>
            <m:oMath>
              <m:r>
                <m:t>24.52</m:t>
              </m:r>
              <m:r>
                <m:rPr>
                  <m:sty m:val="p"/>
                </m:rPr>
                <m:t>±</m:t>
              </m:r>
              <m:r>
                <m:t>0.94</m:t>
              </m:r>
            </m:oMath>
            <w:r>
              <w:t xml:space="preserve">​</w:t>
            </w:r>
          </w:p>
        </w:tc>
        <w:tc>
          <w:tcPr>
            <w:vAlign w:val="center"/>
          </w:tcPr>
          <w:p>
            <w:pPr>
              <w:pStyle w:val="MDPI42tablebody"/>
              <w:jc w:val="center"/>
            </w:pPr>
            <w:r>
              <w:t xml:space="preserve">18.66</w:t>
            </w:r>
          </w:p>
        </w:tc>
        <w:tc>
          <w:tcPr>
            <w:vAlign w:val="center"/>
          </w:tcPr>
          <w:p>
            <w:pPr>
              <w:pStyle w:val="MDPI42tablebody"/>
              <w:jc w:val="center"/>
            </w:pPr>
            <w:r>
              <w:t xml:space="preserve">2.174</w:t>
            </w:r>
          </w:p>
        </w:tc>
        <w:tc>
          <w:tcPr>
            <w:vAlign w:val="center"/>
          </w:tcPr>
          <w:p>
            <w:pPr>
              <w:pStyle w:val="MDPI42tablebody"/>
              <w:jc w:val="center"/>
            </w:pPr>
            <w:r>
              <w:t xml:space="preserve">7.11</w:t>
            </w:r>
          </w:p>
        </w:tc>
        <w:tc>
          <w:tcPr>
            <w:vAlign w:val="center"/>
          </w:tcPr>
          <w:p>
            <w:pPr>
              <w:pStyle w:val="MDPI42tablebody"/>
              <w:jc w:val="center"/>
            </w:pPr>
            <w:r>
              <w:t xml:space="preserve">[4.24, 10.99]</w:t>
            </w:r>
          </w:p>
        </w:tc>
        <w:tc>
          <w:tcPr>
            <w:vAlign w:val="center"/>
          </w:tcPr>
          <w:p>
            <w:pPr>
              <w:pStyle w:val="MDPI42tablebody"/>
              <w:jc w:val="center"/>
            </w:pPr>
            <w:r>
              <w:t xml:space="preserve">0.011</w:t>
            </w:r>
          </w:p>
        </w:tc>
      </w:tr>
      <w:tr>
        <w:trPr>
          <w:cantSplit/>
        </w:trPr>
        <w:tc>
          <w:tcPr>
            <w:vAlign w:val="center"/>
          </w:tcPr>
          <w:p>
            <w:pPr>
              <w:pStyle w:val="MDPI42tablebody"/>
              <w:jc w:val="center"/>
            </w:pPr>
            <w:r>
              <w:rPr>
                <w:rStyle w:val="VerbatimChar"/>
              </w:rPr>
              <w:t xml:space="preserve">physics</w:t>
            </w:r>
          </w:p>
        </w:tc>
        <w:tc>
          <w:tcPr>
            <w:vAlign w:val="center"/>
          </w:tcPr>
          <w:p>
            <w:pPr>
              <w:pStyle w:val="MDPI42tablebody"/>
              <w:jc w:val="center"/>
            </w:pPr>
            <m:oMath>
              <m:r>
                <m:t>53.43</m:t>
              </m:r>
              <m:r>
                <m:rPr>
                  <m:sty m:val="p"/>
                </m:rPr>
                <m:t>±</m:t>
              </m:r>
              <m:r>
                <m:t>2.40</m:t>
              </m:r>
            </m:oMath>
            <w:r>
              <w:t xml:space="preserve">​</w:t>
            </w:r>
          </w:p>
        </w:tc>
        <w:tc>
          <w:tcPr>
            <w:vAlign w:val="center"/>
          </w:tcPr>
          <w:p>
            <w:pPr>
              <w:pStyle w:val="MDPI42tablebody"/>
              <w:jc w:val="center"/>
            </w:pPr>
            <w:r>
              <w:t xml:space="preserve">26.74</w:t>
            </w:r>
          </w:p>
        </w:tc>
        <w:tc>
          <w:tcPr>
            <w:vAlign w:val="center"/>
          </w:tcPr>
          <w:p>
            <w:pPr>
              <w:pStyle w:val="MDPI42tablebody"/>
              <w:jc w:val="center"/>
            </w:pPr>
            <w:r>
              <w:rPr>
                <w:b/>
                <w:bCs/>
              </w:rPr>
              <w:t xml:space="preserve">2.022</w:t>
            </w:r>
          </w:p>
        </w:tc>
        <w:tc>
          <w:tcPr>
            <w:vAlign w:val="center"/>
          </w:tcPr>
          <w:p>
            <w:pPr>
              <w:pStyle w:val="MDPI42tablebody"/>
              <w:jc w:val="center"/>
            </w:pPr>
            <w:r>
              <w:rPr>
                <w:b/>
                <w:bCs/>
              </w:rPr>
              <w:t xml:space="preserve">30.84</w:t>
            </w:r>
          </w:p>
        </w:tc>
        <w:tc>
          <w:tcPr>
            <w:vAlign w:val="center"/>
          </w:tcPr>
          <w:p>
            <w:pPr>
              <w:pStyle w:val="MDPI42tablebody"/>
              <w:jc w:val="center"/>
            </w:pPr>
            <w:r>
              <w:t xml:space="preserve">[24.08, 2360.14]</w:t>
            </w:r>
          </w:p>
        </w:tc>
        <w:tc>
          <w:tcPr>
            <w:vAlign w:val="center"/>
          </w:tcPr>
          <w:p>
            <w:pPr>
              <w:pStyle w:val="MDPI42tablebody"/>
              <w:jc w:val="center"/>
            </w:pPr>
            <w:r>
              <w:t xml:space="preserve">0.130</w:t>
            </w:r>
          </w:p>
        </w:tc>
      </w:tr>
      <w:tr>
        <w:trPr>
          <w:cantSplit/>
        </w:trP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r>
      <w:tr>
        <w:trPr>
          <w:cantSplit/>
        </w:trPr>
        <w:tc>
          <w:tcPr>
            <w:vAlign w:val="center"/>
          </w:tcPr>
          <w:p>
            <w:pPr>
              <w:pStyle w:val="MDPI42tablebody"/>
              <w:jc w:val="center"/>
            </w:pPr>
            <w:r>
              <w:rPr>
                <w:rStyle w:val="VerbatimChar"/>
              </w:rPr>
              <w:t xml:space="preserve">raw</w:t>
            </w:r>
          </w:p>
        </w:tc>
        <w:tc>
          <w:tcPr>
            <w:vAlign w:val="center"/>
          </w:tcPr>
          <w:p>
            <w:pPr>
              <w:pStyle w:val="MDPI42tablebody"/>
              <w:jc w:val="center"/>
            </w:pPr>
            <w:r>
              <w:t xml:space="preserve">—</w:t>
            </w:r>
          </w:p>
        </w:tc>
        <w:tc>
          <w:tcPr>
            <w:vAlign w:val="center"/>
          </w:tcPr>
          <w:p>
            <w:pPr>
              <w:pStyle w:val="MDPI42tablebody"/>
              <w:jc w:val="center"/>
            </w:pPr>
            <w:r>
              <w:t xml:space="preserve">20.05</w:t>
            </w:r>
          </w:p>
        </w:tc>
        <w:tc>
          <w:tcPr>
            <w:vAlign w:val="center"/>
          </w:tcPr>
          <w:p>
            <w:pPr>
              <w:pStyle w:val="MDPI42tablebody"/>
              <w:jc w:val="center"/>
            </w:pPr>
            <w:r>
              <w:t xml:space="preserve">1.862</w:t>
            </w:r>
          </w:p>
        </w:tc>
        <w:tc>
          <w:tcPr>
            <w:vAlign w:val="center"/>
          </w:tcPr>
          <w:p>
            <w:pPr>
              <w:pStyle w:val="MDPI42tablebody"/>
              <w:jc w:val="center"/>
            </w:pPr>
            <w:r>
              <w:t xml:space="preserve">2.67</w:t>
            </w:r>
          </w:p>
        </w:tc>
        <w:tc>
          <w:tcPr>
            <w:vAlign w:val="center"/>
          </w:tcPr>
          <w:p>
            <w:pPr>
              <w:pStyle w:val="MDPI42tablebody"/>
              <w:jc w:val="center"/>
            </w:pPr>
            <w:r>
              <w:t xml:space="preserve">—</w:t>
            </w:r>
          </w:p>
        </w:tc>
        <w:tc>
          <w:tcPr>
            <w:vAlign w:val="center"/>
          </w:tcPr>
          <w:p>
            <w:pPr>
              <w:pStyle w:val="MDPI42tablebody"/>
              <w:jc w:val="center"/>
            </w:pPr>
            <w:r>
              <w:t xml:space="preserve">0.0000</w:t>
            </w:r>
          </w:p>
        </w:tc>
      </w:tr>
      <w:tr>
        <w:trPr>
          <w:cantSplit/>
        </w:trPr>
        <w:tc>
          <w:tcPr>
            <w:vAlign w:val="center"/>
          </w:tcPr>
          <w:p>
            <w:pPr>
              <w:pStyle w:val="MDPI42tablebody"/>
              <w:jc w:val="center"/>
            </w:pPr>
            <w:r>
              <w:rPr>
                <w:rStyle w:val="VerbatimChar"/>
              </w:rPr>
              <w:t xml:space="preserve">physics_no_cross</w:t>
            </w:r>
          </w:p>
        </w:tc>
        <w:tc>
          <w:tcPr>
            <w:vAlign w:val="center"/>
          </w:tcPr>
          <w:p>
            <w:pPr>
              <w:pStyle w:val="MDPI42tablebody"/>
              <w:jc w:val="center"/>
            </w:pPr>
            <w:r>
              <w:t xml:space="preserve">—</w:t>
            </w:r>
          </w:p>
        </w:tc>
        <w:tc>
          <w:tcPr>
            <w:vAlign w:val="center"/>
          </w:tcPr>
          <w:p>
            <w:pPr>
              <w:pStyle w:val="MDPI42tablebody"/>
              <w:jc w:val="center"/>
            </w:pPr>
            <w:r>
              <w:t xml:space="preserve">28.18</w:t>
            </w:r>
          </w:p>
        </w:tc>
        <w:tc>
          <w:tcPr>
            <w:vAlign w:val="center"/>
          </w:tcPr>
          <w:p>
            <w:pPr>
              <w:pStyle w:val="MDPI42tablebody"/>
              <w:jc w:val="center"/>
            </w:pPr>
            <w:r>
              <w:t xml:space="preserve">1.728</w:t>
            </w:r>
          </w:p>
        </w:tc>
        <w:tc>
          <w:tcPr>
            <w:vAlign w:val="center"/>
          </w:tcPr>
          <w:p>
            <w:pPr>
              <w:pStyle w:val="MDPI42tablebody"/>
              <w:jc w:val="center"/>
            </w:pPr>
            <w:r>
              <w:t xml:space="preserve">10.58</w:t>
            </w:r>
          </w:p>
        </w:tc>
        <w:tc>
          <w:tcPr>
            <w:vAlign w:val="center"/>
          </w:tcPr>
          <w:p>
            <w:pPr>
              <w:pStyle w:val="MDPI42tablebody"/>
              <w:jc w:val="center"/>
            </w:pPr>
            <w:r>
              <w:t xml:space="preserve">—</w:t>
            </w:r>
          </w:p>
        </w:tc>
        <w:tc>
          <w:tcPr>
            <w:vAlign w:val="center"/>
          </w:tcPr>
          <w:p>
            <w:pPr>
              <w:pStyle w:val="MDPI42tablebody"/>
              <w:jc w:val="center"/>
            </w:pPr>
            <w:r>
              <w:t xml:space="preserve">0.0204</w:t>
            </w:r>
          </w:p>
        </w:tc>
      </w:tr>
      <w:tr>
        <w:trPr>
          <w:cantSplit/>
        </w:trPr>
        <w:tc>
          <w:tcPr>
            <w:vAlign w:val="center"/>
          </w:tcPr>
          <w:p>
            <w:pPr>
              <w:pStyle w:val="MDPI42tablebody"/>
              <w:jc w:val="center"/>
            </w:pP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36.98</w:t>
            </w:r>
          </w:p>
        </w:tc>
        <w:tc>
          <w:tcPr>
            <w:vAlign w:val="center"/>
          </w:tcPr>
          <w:p>
            <w:pPr>
              <w:pStyle w:val="MDPI42tablebody"/>
              <w:jc w:val="center"/>
            </w:pPr>
            <w:r>
              <w:rPr>
                <w:b/>
                <w:bCs/>
              </w:rPr>
              <w:t xml:space="preserve">1.675</w:t>
            </w:r>
          </w:p>
        </w:tc>
        <w:tc>
          <w:tcPr>
            <w:vAlign w:val="center"/>
          </w:tcPr>
          <w:p>
            <w:pPr>
              <w:pStyle w:val="MDPI42tablebody"/>
              <w:jc w:val="center"/>
            </w:pPr>
            <w:r>
              <w:rPr>
                <w:b/>
                <w:bCs/>
              </w:rPr>
              <w:t xml:space="preserve">24.27</w:t>
            </w:r>
          </w:p>
        </w:tc>
        <w:tc>
          <w:tcPr>
            <w:vAlign w:val="center"/>
          </w:tcPr>
          <w:p>
            <w:pPr>
              <w:pStyle w:val="MDPI42tablebody"/>
              <w:jc w:val="center"/>
            </w:pPr>
            <w:r>
              <w:t xml:space="preserve">—</w:t>
            </w:r>
          </w:p>
        </w:tc>
        <w:tc>
          <w:tcPr>
            <w:vAlign w:val="center"/>
          </w:tcPr>
          <w:p>
            <w:pPr>
              <w:pStyle w:val="MDPI42tablebody"/>
              <w:jc w:val="center"/>
            </w:pPr>
            <w:r>
              <w:t xml:space="preserve">0.0758</w:t>
            </w:r>
          </w:p>
        </w:tc>
      </w:tr>
    </w:tbl>
    <w:bookmarkEnd w:id="40"/>
    <w:bookmarkStart w:id="44" w:name="fig:kappa"/>
    <w:p>
      <w:pPr>
        <w:pStyle w:val="MDPI52figure"/>
        <w:jc w:val="center"/>
        <w:keepNext/>
      </w:pPr>
      <w:r>
        <w:drawing>
          <wp:inline>
            <wp:extent cx="6164185" cy="4306381"/>
            <wp:effectExtent b="0" l="0" r="0" t="0"/>
            <wp:docPr descr="" title="" id="42" name="Picture"/>
            <a:graphic>
              <a:graphicData uri="http://schemas.openxmlformats.org/drawingml/2006/picture">
                <pic:pic>
                  <pic:nvPicPr>
                    <pic:cNvPr descr="figures/fig1_selection_and_conditioning.png" id="43" name="Picture"/>
                    <pic:cNvPicPr>
                      <a:picLocks noChangeArrowheads="1" noChangeAspect="1"/>
                    </pic:cNvPicPr>
                  </pic:nvPicPr>
                  <pic:blipFill>
                    <a:blip r:embed="rId41"/>
                    <a:stretch>
                      <a:fillRect/>
                    </a:stretch>
                  </pic:blipFill>
                  <pic:spPr bwMode="auto">
                    <a:xfrm>
                      <a:off x="0" y="0"/>
                      <a:ext cx="6164185" cy="4306381"/>
                    </a:xfrm>
                    <a:prstGeom prst="rect">
                      <a:avLst/>
                    </a:prstGeom>
                    <a:noFill/>
                    <a:ln w="9525">
                      <a:noFill/>
                      <a:headEnd/>
                      <a:tailEnd/>
                    </a:ln>
                  </pic:spPr>
                </pic:pic>
              </a:graphicData>
            </a:graphic>
          </wp:inline>
        </w:drawing>
      </w:r>
    </w:p>
    <w:p>
      <w:pPr>
        <w:pStyle w:val="MDPI51figurecaption"/>
        <w:keepLines/>
      </w:pPr>
      <w:r>
        <w:rPr>
          <w:b/>
        </w:rPr>
        <w:t xml:space="preserve">Figure 1. </w:t>
      </w:r>
      <w:r>
        <w:t xml:space="preserve">The selection criterion decides which library wins; conditioning does not decide</w:t>
      </w:r>
      <w:r>
        <w:t xml:space="preserve"> </w:t>
      </w:r>
      <w:r>
        <w:t xml:space="preserve">by how much. (</w:t>
      </w:r>
      <w:r>
        <w:rPr>
          <w:b/>
          <w:bCs/>
        </w:rPr>
        <w:t xml:space="preserve">a</w:t>
      </w:r>
      <w:r>
        <w:t xml:space="preserve">) One-step RMSE of</w:t>
      </w:r>
      <w:r>
        <w:t xml:space="preserve"> </w:t>
      </w:r>
      <m:oMath>
        <m:sSub>
          <m:e>
            <m:r>
              <m:t>T</m:t>
            </m:r>
          </m:e>
          <m:sub>
            <m:r>
              <m:rPr>
                <m:sty m:val="p"/>
              </m:rPr>
              <m:t>in</m:t>
            </m:r>
          </m:sub>
        </m:sSub>
      </m:oMath>
      <w:r>
        <w:t xml:space="preserve"> </w:t>
      </w:r>
      <w:r>
        <w:t xml:space="preserve">against 24-h rollout RMSE, one</w:t>
      </w:r>
      <w:r>
        <w:t xml:space="preserve"> </w:t>
      </w:r>
      <w:r>
        <w:t xml:space="preserve">marker per fit; open faces fail the</w:t>
      </w:r>
      <w:r>
        <w:t xml:space="preserve"> </w:t>
      </w:r>
      <m:oMath>
        <m:r>
          <m:t>0.05</m:t>
        </m:r>
      </m:oMath>
      <w:r>
        <w:t xml:space="preserve"> </w:t>
      </w:r>
      <w:r>
        <w:t xml:space="preserve">divergence gate, crosses give the per-library</w:t>
      </w:r>
      <w:r>
        <w:t xml:space="preserve"> </w:t>
      </w:r>
      <w:r>
        <w:t xml:space="preserve">median and IQR. (</w:t>
      </w:r>
      <w:r>
        <w:rPr>
          <w:b/>
          <w:bCs/>
        </w:rPr>
        <w:t xml:space="preserve">b</w:t>
      </w:r>
      <w:r>
        <w:t xml:space="preserve">) The same block against the condition number of the</w:t>
      </w:r>
      <w:r>
        <w:t xml:space="preserve"> </w:t>
      </w:r>
      <w:r>
        <w:t xml:space="preserve">regression: as physically motivated features are added,</w:t>
      </w:r>
      <w:r>
        <w:t xml:space="preserve"> </w:t>
      </w:r>
      <m:oMath>
        <m:r>
          <m:t>κ</m:t>
        </m:r>
      </m:oMath>
      <w:r>
        <w:t xml:space="preserve"> </w:t>
      </w:r>
      <w:r>
        <w:t xml:space="preserve">rises from</w:t>
      </w:r>
      <w:r>
        <w:t xml:space="preserve"> </w:t>
      </w:r>
      <m:oMath>
        <m:r>
          <m:t>8.2</m:t>
        </m:r>
      </m:oMath>
      <w:r>
        <w:t xml:space="preserve"> </w:t>
      </w:r>
      <w:r>
        <w:t xml:space="preserve">to</w:t>
      </w:r>
      <w:r>
        <w:t xml:space="preserve"> </w:t>
      </w:r>
      <m:oMath>
        <m:r>
          <m:t>53.4</m:t>
        </m:r>
      </m:oMath>
      <w:r>
        <w:t xml:space="preserve">, the one-step error falls and the median 24-h rollout error rises by an order of</w:t>
      </w:r>
      <w:r>
        <w:t xml:space="preserve"> </w:t>
      </w:r>
      <w:r>
        <w:t xml:space="preserve">magnitude, so the two</w:t>
      </w:r>
      <w:r>
        <w:t xml:space="preserve"> </w:t>
      </w:r>
      <w:r>
        <w:rPr>
          <w:i/>
          <w:iCs/>
        </w:rPr>
        <w:t xml:space="preserve">open-loop</w:t>
      </w:r>
      <w:r>
        <w:t xml:space="preserve"> </w:t>
      </w:r>
      <w:r>
        <w:t xml:space="preserve">criteria order the three libraries in opposite</w:t>
      </w:r>
      <w:r>
        <w:t xml:space="preserve"> </w:t>
      </w:r>
      <w:r>
        <w:t xml:space="preserve">directions. (</w:t>
      </w:r>
      <w:r>
        <w:rPr>
          <w:b/>
          <w:bCs/>
        </w:rPr>
        <w:t xml:space="preserve">c</w:t>
      </w:r>
      <w:r>
        <w:t xml:space="preserve">) The same three libraries in closed loop, changed one factor at a</w:t>
      </w:r>
      <w:r>
        <w:t xml:space="preserve"> </w:t>
      </w:r>
      <w:r>
        <w:t xml:space="preserve">time (ensemble estimator, threshold</w:t>
      </w:r>
      <w:r>
        <w:t xml:space="preserve"> </w:t>
      </w:r>
      <m:oMath>
        <m:r>
          <m:t>0.05</m:t>
        </m:r>
      </m:oMath>
      <w:r>
        <w:t xml:space="preserve">), plus the 17-feature probe that deletes the</w:t>
      </w:r>
      <w:r>
        <w:t xml:space="preserve"> </w:t>
      </w:r>
      <w:r>
        <w:t xml:space="preserve">single bilinear boiler term from the full physics set: four-season mean margin under the</w:t>
      </w:r>
      <w:r>
        <w:t xml:space="preserve"> </w:t>
      </w:r>
      <w:r>
        <w:t xml:space="preserve">priced objective against the fraction of seeds in which the boiler-input coefficient</w:t>
      </w:r>
      <w:r>
        <w:t xml:space="preserve"> </w:t>
      </w:r>
      <w:r>
        <w:t xml:space="preserve">survives thresholding. The closed-loop series</w:t>
      </w:r>
      <w:r>
        <w:t xml:space="preserve"> </w:t>
      </w:r>
      <w:r>
        <w:t xml:space="preserve">is</w:t>
      </w:r>
      <w:r>
        <w:t xml:space="preserve"> </w:t>
      </w:r>
      <w:r>
        <w:rPr>
          <w:i/>
          <w:iCs/>
        </w:rPr>
        <w:t xml:space="preserve">not</w:t>
      </w:r>
      <w:r>
        <w:t xml:space="preserve"> </w:t>
      </w:r>
      <w:r>
        <w:t xml:space="preserve">monotone in</w:t>
      </w:r>
      <w:r>
        <w:t xml:space="preserve"> </w:t>
      </w:r>
      <m:oMath>
        <m:r>
          <m:t>κ</m:t>
        </m:r>
      </m:oMath>
      <w:r>
        <w:t xml:space="preserve"> </w:t>
      </w:r>
      <w:r>
        <w:t xml:space="preserve">— the worst-conditioned library outscores the middle</w:t>
      </w:r>
      <w:r>
        <w:t xml:space="preserve"> </w:t>
      </w:r>
      <w:r>
        <w:t xml:space="preserve">one tenfold, and the probe, whose conditioning stays at the full library’s level</w:t>
      </w:r>
      <w:r>
        <w:t xml:space="preserve"> </w:t>
      </w:r>
      <w:r>
        <w:t xml:space="preserve">(</w:t>
      </w:r>
      <m:oMath>
        <m:r>
          <m:t>κ</m:t>
        </m:r>
        <m:r>
          <m:rPr>
            <m:sty m:val="p"/>
          </m:rPr>
          <m:t>=</m:t>
        </m:r>
        <m:r>
          <m:t>52.3</m:t>
        </m:r>
      </m:oMath>
      <w:r>
        <w:t xml:space="preserve">), does not collapse onto the middle library but lands between, in</w:t>
      </w:r>
      <w:r>
        <w:t xml:space="preserve"> </w:t>
      </w:r>
      <w:r>
        <w:t xml:space="preserve">survival order — and the margin follows the survival axis instead</w:t>
      </w:r>
      <w:r>
        <w:t xml:space="preserve"> </w:t>
      </w:r>
      <w:r>
        <w:t xml:space="preserve">(Section </w:t>
      </w:r>
      <w:hyperlink w:anchor="sec:res-mech">
        <w:r>
          <w:rPr>
            <w:rStyle w:val="Hyperlink"/>
          </w:rPr>
          <w:t xml:space="preserve">3.5</w:t>
        </w:r>
      </w:hyperlink>
      <w:r>
        <w:t xml:space="preserve">).</w:t>
      </w:r>
      <w:r>
        <w:t xml:space="preserve"> </w:t>
      </w:r>
      <w:r>
        <w:rPr>
          <w:b/>
          <w:bCs/>
        </w:rPr>
        <w:t xml:space="preserve">Scope:</w:t>
      </w:r>
      <w:r>
        <w:t xml:space="preserve"> </w:t>
      </w:r>
      <w:r>
        <w:t xml:space="preserve">the reversal in (</w:t>
      </w:r>
      <w:r>
        <w:rPr>
          <w:b/>
          <w:bCs/>
        </w:rPr>
        <w:t xml:space="preserve">a</w:t>
      </w:r>
      <w:r>
        <w:t xml:space="preserve">,</w:t>
      </w:r>
      <w:r>
        <w:rPr>
          <w:b/>
          <w:bCs/>
        </w:rPr>
        <w:t xml:space="preserve">b</w:t>
      </w:r>
      <w:r>
        <w:t xml:space="preserve">)</w:t>
      </w:r>
      <w:r>
        <w:t xml:space="preserve"> </w:t>
      </w:r>
      <w:r>
        <w:t xml:space="preserve">holds in the degree-1, undenoised block under the two sparse estimators — 2 of 72</w:t>
      </w:r>
      <w:r>
        <w:t xml:space="preserve"> </w:t>
      </w:r>
      <w:r>
        <w:t xml:space="preserve">configurations per library,</w:t>
      </w:r>
      <w:r>
        <w:t xml:space="preserve"> </w:t>
      </w:r>
      <m:oMath>
        <m:r>
          <m:t>n</m:t>
        </m:r>
        <m:r>
          <m:rPr>
            <m:sty m:val="p"/>
          </m:rPr>
          <m:t>=</m:t>
        </m:r>
        <m:r>
          <m:t>40</m:t>
        </m:r>
      </m:oMath>
      <w:r>
        <w:t xml:space="preserve"> </w:t>
      </w:r>
      <w:r>
        <w:t xml:space="preserve">fits per library. Pooled over all 72 labels the</w:t>
      </w:r>
      <w:r>
        <w:t xml:space="preserve"> </w:t>
      </w:r>
      <w:r>
        <w:rPr>
          <w:i/>
          <w:iCs/>
        </w:rPr>
        <w:t xml:space="preserve">raw</w:t>
      </w:r>
      <w:r>
        <w:t xml:space="preserve"> </w:t>
      </w:r>
      <w:r>
        <w:t xml:space="preserve">library has the best mean one-step RMSE (</w:t>
      </w:r>
      <m:oMath>
        <m:r>
          <m:t>2.70</m:t>
        </m:r>
      </m:oMath>
      <w:r>
        <w:t xml:space="preserve"> </w:t>
      </w:r>
      <w:r>
        <w:t xml:space="preserve">against</w:t>
      </w:r>
      <w:r>
        <w:t xml:space="preserve"> </w:t>
      </w:r>
      <m:oMath>
        <m:r>
          <m:t>2.98</m:t>
        </m:r>
      </m:oMath>
      <w:r>
        <w:t xml:space="preserve"> </w:t>
      </w:r>
      <w:r>
        <w:t xml:space="preserve">and</w:t>
      </w:r>
      <w:r>
        <w:t xml:space="preserve"> </w:t>
      </w:r>
      <m:oMath>
        <m:r>
          <m:t>3.45</m:t>
        </m:r>
      </m:oMath>
      <w:r>
        <w:t xml:space="preserve">) and</w:t>
      </w:r>
      <w:r>
        <w:t xml:space="preserve"> </w:t>
      </w:r>
      <w:r>
        <w:t xml:space="preserve">there is no reversal. Data:</w:t>
      </w:r>
      <w:r>
        <w:t xml:space="preserve"> </w:t>
      </w:r>
      <w:r>
        <w:rPr>
          <w:rStyle w:val="VerbatimChar"/>
        </w:rPr>
        <w:t xml:space="preserve">regen/results/ladder_rerun/</w:t>
      </w:r>
      <w:r>
        <w:t xml:space="preserve"> </w:t>
      </w:r>
      <w:r>
        <w:t xml:space="preserve">for</w:t>
      </w:r>
      <w:r>
        <w:t xml:space="preserve"> </w:t>
      </w:r>
      <w:r>
        <w:t xml:space="preserve">(</w:t>
      </w:r>
      <w:r>
        <w:rPr>
          <w:b/>
          <w:bCs/>
        </w:rPr>
        <w:t xml:space="preserve">a</w:t>
      </w:r>
      <w:r>
        <w:t xml:space="preserve">,</w:t>
      </w:r>
      <w:r>
        <w:rPr>
          <w:b/>
          <w:bCs/>
        </w:rPr>
        <w:t xml:space="preserve">b</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 </w:t>
      </w:r>
      <w:r>
        <w:t xml:space="preserve">and</w:t>
      </w:r>
      <w:r>
        <w:t xml:space="preserve"> </w:t>
      </w:r>
      <w:r>
        <w:rPr>
          <w:rStyle w:val="VerbatimChar"/>
        </w:rPr>
        <w:t xml:space="preserve">notuboil/</w:t>
      </w:r>
      <w:r>
        <w:t xml:space="preserve"> </w:t>
      </w:r>
      <w:r>
        <w:t xml:space="preserve">(</w:t>
      </w:r>
      <m:oMath>
        <m:r>
          <m:t>n</m:t>
        </m:r>
        <m:r>
          <m:rPr>
            <m:sty m:val="p"/>
          </m:rPr>
          <m:t>=</m:t>
        </m:r>
        <m:r>
          <m:t>80</m:t>
        </m:r>
      </m:oMath>
      <w:r>
        <w:t xml:space="preserve"> </w:t>
      </w:r>
      <w:r>
        <w:t xml:space="preserve">per controller) for (</w:t>
      </w:r>
      <w:r>
        <w:rPr>
          <w:b/>
          <w:bCs/>
        </w:rPr>
        <w:t xml:space="preserve">c</w:t>
      </w:r>
      <w:r>
        <w:t xml:space="preserve">).</w:t>
      </w:r>
    </w:p>
    <w:bookmarkEnd w:id="44"/>
    <w:bookmarkEnd w:id="45"/>
    <w:bookmarkStart w:id="47" w:name="sec:res-tune"/>
    <w:p>
      <w:pPr>
        <w:pStyle w:val="MDPI22heading2"/>
        <w:keepNext/>
      </w:pPr>
      <w:r>
        <w:t xml:space="preserve">3.2. </w:t>
      </w:r>
      <w:r>
        <w:t xml:space="preserve">Tuning the rule-based reference</w:t>
      </w:r>
    </w:p>
    <w:p>
      <w:pPr>
        <w:pStyle w:val="MDPI31text"/>
      </w:pPr>
      <w:r>
        <w:t xml:space="preserve">The rule-based controller had previously been described as tuned when in fact its</w:t>
      </w:r>
      <w:r>
        <w:t xml:space="preserve"> </w:t>
      </w:r>
      <w:r>
        <w:t xml:space="preserve">setpoints were hard-coded. It was therefore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6" w:name="tab:tune"/>
    <w:p>
      <w:pPr>
        <w:pStyle w:val="MDPI41tablecaption"/>
        <w:keepNext/>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dxa" w:w="792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980"/>
        <w:gridCol w:w="1980"/>
        <w:gridCol w:w="1980"/>
        <w:gridCol w:w="1980"/>
      </w:tblGrid>
      <w:tr>
        <w:trPr>
          <w:tblHeader w:val="on"/>
          <w:cantSplit/>
        </w:trPr>
        <w:tc>
          <w:tcPr>
            <w:vAlign w:val="center"/>
            <w:tcBorders>
              <w:bottom w:val="single" w:sz="8" w:space="0" w:color="000000"/>
            </w:tcBorders>
          </w:tcPr>
          <w:p>
            <w:pPr>
              <w:pStyle w:val="MDPI42tablebody"/>
              <w:jc w:val="center"/>
            </w:pPr>
            <w:r>
              <w:rPr>
                <w:b/>
              </w:rPr>
              <w:t xml:space="preserve">Setpoint</w:t>
            </w:r>
          </w:p>
        </w:tc>
        <w:tc>
          <w:tcPr>
            <w:vAlign w:val="center"/>
            <w:tcBorders>
              <w:bottom w:val="single" w:sz="8" w:space="0" w:color="000000"/>
            </w:tcBorders>
          </w:tcPr>
          <w:p>
            <w:pPr>
              <w:pStyle w:val="MDPI42tablebody"/>
              <w:jc w:val="center"/>
            </w:pPr>
            <w:r>
              <w:rPr>
                <w:b/>
              </w:rPr>
              <w:t xml:space="preserve">Range searched</w:t>
            </w:r>
          </w:p>
        </w:tc>
        <w:tc>
          <w:tcPr>
            <w:vAlign w:val="center"/>
            <w:tcBorders>
              <w:bottom w:val="single" w:sz="8" w:space="0" w:color="000000"/>
            </w:tcBorders>
          </w:tcPr>
          <w:p>
            <w:pPr>
              <w:pStyle w:val="MDPI42tablebody"/>
              <w:jc w:val="center"/>
            </w:pPr>
            <w:r>
              <w:rPr>
                <w:b/>
              </w:rPr>
              <w:t xml:space="preserve">Hard-coded</w:t>
            </w:r>
          </w:p>
        </w:tc>
        <w:tc>
          <w:tcPr>
            <w:vAlign w:val="center"/>
            <w:tcBorders>
              <w:bottom w:val="single" w:sz="8" w:space="0" w:color="000000"/>
            </w:tcBorders>
          </w:tcPr>
          <w:p>
            <w:pPr>
              <w:pStyle w:val="MDPI42tablebody"/>
              <w:jc w:val="center"/>
            </w:pPr>
            <w:r>
              <w:rPr>
                <w:b/>
              </w:rPr>
              <w:t xml:space="preserve">Selected</w:t>
            </w:r>
          </w:p>
        </w:tc>
      </w:tr>
      <w:tr>
        <w:trPr>
          <w:cantSplit/>
        </w:trPr>
        <w:tc>
          <w:tcPr>
            <w:vAlign w:val="center"/>
          </w:tcPr>
          <w:p>
            <w:pPr>
              <w:pStyle w:val="MDPI42tablebody"/>
              <w:jc w:val="center"/>
            </w:pPr>
            <w:r>
              <w:t xml:space="preserve">Day temperature (</w:t>
            </w:r>
            <m:oMath>
              <m:sSup>
                <m:e>
                  <m:r>
                    <m:t>​</m:t>
                  </m:r>
                </m:e>
                <m:sup>
                  <m:r>
                    <m:rPr>
                      <m:sty m:val="p"/>
                    </m:rPr>
                    <m:t>∘</m:t>
                  </m:r>
                </m:sup>
              </m:sSup>
            </m:oMath>
            <w:r>
              <w:t xml:space="preserve">C)</w:t>
            </w:r>
          </w:p>
        </w:tc>
        <w:tc>
          <w:tcPr>
            <w:vAlign w:val="center"/>
          </w:tcPr>
          <w:p>
            <w:pPr>
              <w:pStyle w:val="MDPI42tablebody"/>
              <w:jc w:val="center"/>
            </w:pPr>
            <w:r>
              <w:t xml:space="preserve">17.0–23.0</w:t>
            </w:r>
          </w:p>
        </w:tc>
        <w:tc>
          <w:tcPr>
            <w:vAlign w:val="center"/>
          </w:tcPr>
          <w:p>
            <w:pPr>
              <w:pStyle w:val="MDPI42tablebody"/>
              <w:jc w:val="center"/>
            </w:pPr>
            <w:r>
              <w:t xml:space="preserve">19.5</w:t>
            </w:r>
          </w:p>
        </w:tc>
        <w:tc>
          <w:tcPr>
            <w:vAlign w:val="center"/>
          </w:tcPr>
          <w:p>
            <w:pPr>
              <w:pStyle w:val="MDPI42tablebody"/>
              <w:jc w:val="center"/>
            </w:pPr>
            <w:r>
              <w:t xml:space="preserve">22.92</w:t>
            </w:r>
          </w:p>
        </w:tc>
      </w:tr>
      <w:tr>
        <w:trPr>
          <w:cantSplit/>
        </w:trPr>
        <w:tc>
          <w:tcPr>
            <w:vAlign w:val="center"/>
          </w:tcPr>
          <w:p>
            <w:pPr>
              <w:pStyle w:val="MDPI42tablebody"/>
              <w:jc w:val="center"/>
            </w:pPr>
            <w:r>
              <w:t xml:space="preserve">Night temperature (</w:t>
            </w:r>
            <m:oMath>
              <m:sSup>
                <m:e>
                  <m:r>
                    <m:t>​</m:t>
                  </m:r>
                </m:e>
                <m:sup>
                  <m:r>
                    <m:rPr>
                      <m:sty m:val="p"/>
                    </m:rPr>
                    <m:t>∘</m:t>
                  </m:r>
                </m:sup>
              </m:sSup>
            </m:oMath>
            <w:r>
              <w:t xml:space="preserve">C)</w:t>
            </w:r>
          </w:p>
        </w:tc>
        <w:tc>
          <w:tcPr>
            <w:vAlign w:val="center"/>
          </w:tcPr>
          <w:p>
            <w:pPr>
              <w:pStyle w:val="MDPI42tablebody"/>
              <w:jc w:val="center"/>
            </w:pPr>
            <w:r>
              <w:t xml:space="preserve">14.0–20.0</w:t>
            </w:r>
          </w:p>
        </w:tc>
        <w:tc>
          <w:tcPr>
            <w:vAlign w:val="center"/>
          </w:tcPr>
          <w:p>
            <w:pPr>
              <w:pStyle w:val="MDPI42tablebody"/>
              <w:jc w:val="center"/>
            </w:pPr>
            <w:r>
              <w:t xml:space="preserve">16.5</w:t>
            </w:r>
          </w:p>
        </w:tc>
        <w:tc>
          <w:tcPr>
            <w:vAlign w:val="center"/>
          </w:tcPr>
          <w:p>
            <w:pPr>
              <w:pStyle w:val="MDPI42tablebody"/>
              <w:jc w:val="center"/>
            </w:pPr>
            <w:r>
              <w:t xml:space="preserve">14.38</w:t>
            </w:r>
          </w:p>
        </w:tc>
      </w:tr>
      <w:tr>
        <w:trPr>
          <w:cantSplit/>
        </w:trPr>
        <w:tc>
          <w:tcPr>
            <w:vAlign w:val="center"/>
          </w:tcPr>
          <w:p>
            <w:pPr>
              <w:pStyle w:val="MDPI42tablebody"/>
              <w:jc w:val="center"/>
            </w:pPr>
            <w:r>
              <w:t xml:space="preserve">Daytime CO</w:t>
            </w:r>
            <m:oMath>
              <m:sSub>
                <m:e>
                  <m:r>
                    <m:t>​</m:t>
                  </m:r>
                </m:e>
                <m:sub>
                  <m:r>
                    <m:t>2</m:t>
                  </m:r>
                </m:sub>
              </m:sSub>
            </m:oMath>
            <w:r>
              <w:t xml:space="preserve"> </w:t>
            </w:r>
            <w:r>
              <w:t xml:space="preserve">(ppm)</w:t>
            </w:r>
          </w:p>
        </w:tc>
        <w:tc>
          <w:tcPr>
            <w:vAlign w:val="center"/>
          </w:tcPr>
          <w:p>
            <w:pPr>
              <w:pStyle w:val="MDPI42tablebody"/>
              <w:jc w:val="center"/>
            </w:pPr>
            <w:r>
              <w:t xml:space="preserve">400–1200</w:t>
            </w:r>
          </w:p>
        </w:tc>
        <w:tc>
          <w:tcPr>
            <w:vAlign w:val="center"/>
          </w:tcPr>
          <w:p>
            <w:pPr>
              <w:pStyle w:val="MDPI42tablebody"/>
              <w:jc w:val="center"/>
            </w:pPr>
            <w:r>
              <w:t xml:space="preserve">800</w:t>
            </w:r>
          </w:p>
        </w:tc>
        <w:tc>
          <w:tcPr>
            <w:vAlign w:val="center"/>
          </w:tcPr>
          <w:p>
            <w:pPr>
              <w:pStyle w:val="MDPI42tablebody"/>
              <w:jc w:val="center"/>
            </w:pPr>
            <w:r>
              <w:t xml:space="preserve">828.3</w:t>
            </w:r>
          </w:p>
        </w:tc>
      </w:tr>
      <w:tr>
        <w:trPr>
          <w:cantSplit/>
        </w:trPr>
        <w:tc>
          <w:tcPr>
            <w:vAlign w:val="center"/>
          </w:tcPr>
          <w:p>
            <w:pPr>
              <w:pStyle w:val="MDPI42tablebody"/>
              <w:jc w:val="center"/>
            </w:pPr>
            <w:r>
              <w:t xml:space="preserve">Lamp radiation-sum limit</w:t>
            </w:r>
          </w:p>
        </w:tc>
        <w:tc>
          <w:tcPr>
            <w:vAlign w:val="center"/>
          </w:tcPr>
          <w:p>
            <w:pPr>
              <w:pStyle w:val="MDPI42tablebody"/>
              <w:jc w:val="center"/>
            </w:pPr>
            <w:r>
              <w:t xml:space="preserve">5.0–25.0</w:t>
            </w:r>
          </w:p>
        </w:tc>
        <w:tc>
          <w:tcPr>
            <w:vAlign w:val="center"/>
          </w:tcPr>
          <w:p>
            <w:pPr>
              <w:pStyle w:val="MDPI42tablebody"/>
              <w:jc w:val="center"/>
            </w:pPr>
            <w:r>
              <w:t xml:space="preserve">10</w:t>
            </w:r>
          </w:p>
        </w:tc>
        <w:tc>
          <w:tcPr>
            <w:vAlign w:val="center"/>
          </w:tcPr>
          <w:p>
            <w:pPr>
              <w:pStyle w:val="MDPI42tablebody"/>
              <w:jc w:val="center"/>
            </w:pPr>
            <w:r>
              <w:t xml:space="preserve">7.62</w:t>
            </w:r>
          </w:p>
        </w:tc>
      </w:tr>
      <w:tr>
        <w:trPr>
          <w:cantSplit/>
        </w:trPr>
        <w:tc>
          <w:tcPr>
            <w:vAlign w:val="center"/>
          </w:tcPr>
          <w:p>
            <w:pPr>
              <w:pStyle w:val="MDPI42tablebody"/>
              <w:jc w:val="center"/>
            </w:pPr>
            <w:r>
              <w:t xml:space="preserve">Test season</w:t>
            </w:r>
          </w:p>
        </w:tc>
        <w:tc>
          <w:tcPr>
            <w:vAlign w:val="center"/>
          </w:tcPr>
          <w:p>
            <w:pPr>
              <w:pStyle w:val="MDPI42tablebody"/>
              <w:jc w:val="center"/>
            </w:pPr>
            <w:r>
              <w:t xml:space="preserve">2020</w:t>
            </w:r>
          </w:p>
        </w:tc>
        <w:tc>
          <w:tcPr>
            <w:vAlign w:val="center"/>
          </w:tcPr>
          <w:p>
            <w:pPr>
              <w:pStyle w:val="MDPI42tablebody"/>
              <w:jc w:val="center"/>
            </w:pPr>
            <w:r>
              <w:t xml:space="preserve">2022</w:t>
            </w:r>
          </w:p>
        </w:tc>
        <w:tc>
          <w:tcPr>
            <w:vAlign w:val="center"/>
          </w:tcPr>
          <w:p>
            <w:pPr>
              <w:pStyle w:val="MDPI42tablebody"/>
              <w:jc w:val="center"/>
            </w:pPr>
            <w:r>
              <w:t xml:space="preserve">Mean Violations</w:t>
            </w:r>
          </w:p>
        </w:tc>
      </w:tr>
      <w:tr>
        <w:trPr>
          <w:cantSplit/>
        </w:trPr>
        <w:tc>
          <w:tcPr>
            <w:vAlign w:val="center"/>
          </w:tcPr>
          <w:p>
            <w:pPr>
              <w:pStyle w:val="MDPI42tablebody"/>
              <w:jc w:val="center"/>
            </w:pPr>
            <w:r>
              <w:t xml:space="preserve">Hard-coded</w:t>
            </w:r>
          </w:p>
        </w:tc>
        <w:tc>
          <w:tcPr>
            <w:vAlign w:val="center"/>
          </w:tcPr>
          <w:p>
            <w:pPr>
              <w:pStyle w:val="MDPI42tablebody"/>
              <w:jc w:val="center"/>
            </w:pPr>
            <m:oMath>
              <m:r>
                <m:rPr>
                  <m:sty m:val="p"/>
                </m:rPr>
                <m:t>+</m:t>
              </m:r>
              <m:r>
                <m:t>4.63</m:t>
              </m:r>
            </m:oMath>
            <w:r>
              <w:t xml:space="preserve"> </w:t>
            </w:r>
            <m:oMath>
              <m:r>
                <m:rPr>
                  <m:sty m:val="p"/>
                </m:rPr>
                <m:t>−</m:t>
              </m:r>
              <m:r>
                <m:t>6.98</m:t>
              </m:r>
            </m:oMath>
          </w:p>
        </w:tc>
        <w:tc>
          <w:tcPr>
            <w:vAlign w:val="center"/>
          </w:tcPr>
          <w:p>
            <w:pPr>
              <w:pStyle w:val="MDPI42tablebody"/>
              <w:jc w:val="center"/>
            </w:pPr>
            <m:oMath>
              <m:r>
                <m:rPr>
                  <m:sty m:val="p"/>
                </m:rPr>
                <m:t>+</m:t>
              </m:r>
              <m:r>
                <m:t>1.30</m:t>
              </m:r>
            </m:oMath>
            <w:r>
              <w:t xml:space="preserve"> </w:t>
            </w:r>
            <m:oMath>
              <m:r>
                <m:rPr>
                  <m:sty m:val="p"/>
                </m:rPr>
                <m:t>−</m:t>
              </m:r>
              <m:r>
                <m:t>3.85</m:t>
              </m:r>
            </m:oMath>
          </w:p>
        </w:tc>
        <w:tc>
          <w:tcPr>
            <w:vAlign w:val="center"/>
          </w:tcPr>
          <w:p>
            <w:pPr>
              <w:pStyle w:val="MDPI42tablebody"/>
              <w:jc w:val="center"/>
            </w:pPr>
            <m:oMath>
              <m:r>
                <m:rPr>
                  <m:sty m:val="p"/>
                </m:rPr>
                <m:t>−</m:t>
              </m:r>
              <m:r>
                <m:t>1.23</m:t>
              </m:r>
            </m:oMath>
            <w:r>
              <w:t xml:space="preserve">​</w:t>
            </w:r>
          </w:p>
        </w:tc>
      </w:tr>
      <w:tr>
        <w:trPr>
          <w:cantSplit/>
        </w:trPr>
        <w:tc>
          <w:tcPr>
            <w:vAlign w:val="center"/>
          </w:tcPr>
          <w:p>
            <w:pPr>
              <w:pStyle w:val="MDPI42tablebody"/>
              <w:jc w:val="center"/>
            </w:pPr>
            <w:r>
              <w:t xml:space="preserve">Tuned</w:t>
            </w:r>
          </w:p>
        </w:tc>
        <w:tc>
          <w:tcPr>
            <w:vAlign w:val="center"/>
          </w:tcPr>
          <w:p>
            <w:pPr>
              <w:pStyle w:val="MDPI42tablebody"/>
              <w:jc w:val="center"/>
            </w:pPr>
            <m:oMath>
              <m:r>
                <m:rPr>
                  <m:sty m:val="p"/>
                </m:rPr>
                <m:t>+</m:t>
              </m:r>
              <m:r>
                <m:t>6.29</m:t>
              </m:r>
            </m:oMath>
            <w:r>
              <w:t xml:space="preserve"> </w:t>
            </w:r>
            <m:oMath>
              <m:r>
                <m:rPr>
                  <m:sty m:val="p"/>
                </m:rPr>
                <m:t>−</m:t>
              </m:r>
              <m:r>
                <m:t>1.99</m:t>
              </m:r>
            </m:oMath>
          </w:p>
        </w:tc>
        <w:tc>
          <w:tcPr>
            <w:vAlign w:val="center"/>
          </w:tcPr>
          <w:p>
            <w:pPr>
              <w:pStyle w:val="MDPI42tablebody"/>
              <w:jc w:val="center"/>
            </w:pPr>
            <m:oMath>
              <m:r>
                <m:rPr>
                  <m:sty m:val="p"/>
                </m:rPr>
                <m:t>+</m:t>
              </m:r>
              <m:r>
                <m:t>2.81</m:t>
              </m:r>
            </m:oMath>
            <w:r>
              <w:t xml:space="preserve"> </w:t>
            </w:r>
            <m:oMath>
              <m:r>
                <m:rPr>
                  <m:sty m:val="p"/>
                </m:rPr>
                <m:t>+</m:t>
              </m:r>
              <m:r>
                <m:t>1.94</m:t>
              </m:r>
            </m:oMath>
          </w:p>
        </w:tc>
        <w:tc>
          <w:tcPr>
            <w:vAlign w:val="center"/>
          </w:tcPr>
          <w:p>
            <w:pPr>
              <w:pStyle w:val="MDPI42tablebody"/>
              <w:jc w:val="center"/>
            </w:pPr>
            <m:oMath>
              <m:r>
                <m:rPr>
                  <m:sty m:val="b"/>
                </m:rPr>
                <m:t>+</m:t>
              </m:r>
              <m:r>
                <m:rPr>
                  <m:sty m:val="b"/>
                </m:rPr>
                <m:t>2.26</m:t>
              </m:r>
            </m:oMath>
            <w:r>
              <w:t xml:space="preserve">​</w:t>
            </w:r>
          </w:p>
        </w:tc>
      </w:tr>
      <w:tr>
        <w:trPr>
          <w:cantSplit/>
        </w:trPr>
        <w:tc>
          <w:tcPr>
            <w:vAlign w:val="center"/>
          </w:tcPr>
          <w:p>
            <w:pPr>
              <w:pStyle w:val="MDPI42tablebody"/>
              <w:jc w:val="center"/>
            </w:pPr>
            <w:r>
              <w:t xml:space="preserve">Gain</w:t>
            </w:r>
          </w:p>
        </w:tc>
        <w:tc>
          <w:tcPr>
            <w:vAlign w:val="center"/>
          </w:tcPr>
          <w:p>
            <w:pPr>
              <w:pStyle w:val="MDPI42tablebody"/>
              <w:jc w:val="center"/>
            </w:pPr>
            <m:oMath>
              <m:r>
                <m:rPr>
                  <m:sty m:val="p"/>
                </m:rPr>
                <m:t>+</m:t>
              </m:r>
              <m:r>
                <m:t>1.66</m:t>
              </m:r>
            </m:oMath>
            <w:r>
              <w:t xml:space="preserve"> </w:t>
            </w:r>
            <m:oMath>
              <m:r>
                <m:rPr>
                  <m:sty m:val="p"/>
                </m:rPr>
                <m:t>+</m:t>
              </m:r>
              <m:r>
                <m:t>4.99</m:t>
              </m:r>
            </m:oMath>
          </w:p>
        </w:tc>
        <w:tc>
          <w:tcPr>
            <w:vAlign w:val="center"/>
          </w:tcPr>
          <w:p>
            <w:pPr>
              <w:pStyle w:val="MDPI42tablebody"/>
              <w:jc w:val="center"/>
            </w:pPr>
            <m:oMath>
              <m:r>
                <m:rPr>
                  <m:sty m:val="p"/>
                </m:rPr>
                <m:t>+</m:t>
              </m:r>
              <m:r>
                <m:t>1.50</m:t>
              </m:r>
            </m:oMath>
            <w:r>
              <w:t xml:space="preserve"> </w:t>
            </w:r>
            <m:oMath>
              <m:r>
                <m:rPr>
                  <m:sty m:val="p"/>
                </m:rPr>
                <m:t>+</m:t>
              </m:r>
              <m:r>
                <m:t>5.79</m:t>
              </m:r>
            </m:oMath>
          </w:p>
        </w:tc>
        <w:tc>
          <w:tcPr>
            <w:vAlign w:val="center"/>
          </w:tcPr>
          <w:p>
            <w:pPr>
              <w:pStyle w:val="MDPI42tablebody"/>
              <w:jc w:val="center"/>
            </w:pPr>
            <m:oMath>
              <m:r>
                <m:rPr>
                  <m:sty m:val="b"/>
                </m:rPr>
                <m:t>+</m:t>
              </m:r>
              <m:r>
                <m:rPr>
                  <m:sty m:val="b"/>
                </m:rPr>
                <m:t>3.49</m:t>
              </m:r>
            </m:oMath>
            <w:r>
              <w:br/>
            </w:r>
            <m:oMath>
              <m:r>
                <m:rPr>
                  <m:sty m:val="p"/>
                </m:rPr>
                <m:t>+</m:t>
              </m:r>
              <m:r>
                <m:t>1526</m:t>
              </m:r>
            </m:oMath>
          </w:p>
        </w:tc>
      </w:tr>
    </w:tbl>
    <w:bookmarkEnd w:id="46"/>
    <w:bookmarkEnd w:id="47"/>
    <w:bookmarkStart w:id="54" w:name="sec:res-main"/>
    <w:p>
      <w:pPr>
        <w:pStyle w:val="MDPI22heading2"/>
        <w:keepNext/>
      </w:pPr>
      <w:r>
        <w:t xml:space="preserve">3.3. </w:t>
      </w:r>
      <w:r>
        <w:t xml:space="preserve">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w:t>
      </w:r>
      <w:r>
        <w:t xml:space="preserve"> </w:t>
      </w:r>
      <w:r>
        <w:rPr>
          <w:i/>
          <w:iCs/>
        </w:rPr>
        <w:t xml:space="preserve">surrogate-based</w:t>
      </w:r>
      <w:r>
        <w:t xml:space="preserve"> </w:t>
      </w:r>
      <w:r>
        <w:t xml:space="preserve">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MDPI31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[27]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[28]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MDPI31text"/>
      </w:pPr>
      <w:r>
        <w:t xml:space="preserve">The advantage is not Pareto-dominant. On the plane (EPI</w:t>
      </w:r>
      <w:r>
        <w:t xml:space="preserve"> </w:t>
      </w:r>
      <m:oMath>
        <m:r>
          <m:rPr>
            <m:sty m:val="p"/>
          </m:rPr>
          <m:t>↑</m:t>
        </m:r>
      </m:oMath>
      <w:r>
        <w:t xml:space="preserve">, violation steps</w:t>
      </w:r>
      <w:r>
        <w:t xml:space="preserve"> </w:t>
      </w:r>
      <m:oMath>
        <m:r>
          <m:rPr>
            <m:sty m:val="p"/>
          </m:rPr>
          <m:t>↓</m:t>
        </m:r>
      </m:oMath>
      <w:r>
        <w:t xml:space="preserve">) the non-dominated set, 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w:t>
      </w:r>
      <w:r>
        <w:t xml:space="preserve"> </w:t>
      </w:r>
      <w:r>
        <w:rPr>
          <w:i/>
          <w:iCs/>
        </w:rPr>
        <w:t xml:space="preserve">both</w:t>
      </w:r>
      <w:r>
        <w:t xml:space="preserve"> </w:t>
      </w:r>
      <w:r>
        <w:t xml:space="preserve">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w:t>
      </w:r>
      <w:r>
        <w:t xml:space="preserve"> </w:t>
      </w:r>
      <w:r>
        <w:rPr>
          <w:i/>
          <w:iCs/>
        </w:rPr>
        <w:t xml:space="preserve">off</w:t>
      </w:r>
      <w:r>
        <w:t xml:space="preserve"> </w:t>
      </w:r>
      <w:r>
        <w:t xml:space="preserve">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family of 15, enlarged from 13 by the two new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 Enlarging the family moved no</w:t>
      </w:r>
      <w:r>
        <w:t xml:space="preserve"> </w:t>
      </w:r>
      <w:r>
        <w:t xml:space="preserve">controller across the</w:t>
      </w:r>
      <w:r>
        <w:t xml:space="preserve"> </w:t>
      </w:r>
      <m:oMath>
        <m:r>
          <m:t>0.05</m:t>
        </m:r>
      </m:oMath>
      <w:r>
        <w:t xml:space="preserve"> </w:t>
      </w:r>
      <w:r>
        <w:t xml:space="preserve">threshold, but every corrected level in the table rose, and</w:t>
      </w:r>
      <w:r>
        <w:t xml:space="preserve"> </w:t>
      </w:r>
      <w:r>
        <w:t xml:space="preserve">the two levels quoted at</w:t>
      </w:r>
      <w:r>
        <w:t xml:space="preserve"> </w:t>
      </w:r>
      <m:oMath>
        <m:r>
          <m:t>0.250</m:t>
        </m:r>
      </m:oMath>
      <w:r>
        <w:t xml:space="preserve"> </w:t>
      </w:r>
      <w:r>
        <w:t xml:space="preserve">in the previous draft are now</w:t>
      </w:r>
      <w:r>
        <w:t xml:space="preserve"> </w:t>
      </w:r>
      <m:oMath>
        <m:r>
          <m:t>0.334</m:t>
        </m:r>
      </m:oMath>
      <w:r>
        <w:t xml:space="preserve"> </w:t>
      </w:r>
      <w:r>
        <w:t xml:space="preserve">for that reason</w:t>
      </w:r>
      <w:r>
        <w:t xml:space="preserve"> </w:t>
      </w:r>
      <w:r>
        <w:t xml:space="preserve">alone.</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MDPI31text"/>
      </w:pPr>
      <w:r>
        <w:t xml:space="preserve">The correction of the stage cost is itself a result. Matched on seed and season, the</w:t>
      </w:r>
      <w:r>
        <w:t xml:space="preserve"> </w:t>
      </w:r>
      <w:r>
        <w:t xml:space="preserve">priced objective improves</w:t>
      </w:r>
      <w:r>
        <w:t xml:space="preserve"> </w:t>
      </w:r>
      <w:r>
        <w:rPr>
          <w:i/>
          <w:iCs/>
        </w:rPr>
        <w:t xml:space="preserve">both</w:t>
      </w:r>
      <w:r>
        <w:t xml:space="preserve"> </w:t>
      </w:r>
      <w:r>
        <w:t xml:space="preserve">axes for all eight MPC controllers for which both</w:t>
      </w:r>
      <w:r>
        <w:t xml:space="preserve"> </w:t>
      </w:r>
      <w:r>
        <w:t xml:space="preserve">objectives were run, significantly in every case. The two full-</w:t>
      </w:r>
      <w:r>
        <w:rPr>
          <w:rStyle w:val="VerbatimChar"/>
        </w:rPr>
        <w:t xml:space="preserve">physics</w:t>
      </w:r>
      <w:r>
        <w:t xml:space="preserve"> </w:t>
      </w:r>
      <w:r>
        <w:t xml:space="preserve">controllers</w:t>
      </w:r>
      <w:r>
        <w:t xml:space="preserve"> </w:t>
      </w:r>
      <w:r>
        <w:t xml:space="preserve">are not among those eight — they were introduced after the correction and exist only</w:t>
      </w:r>
      <w:r>
        <w:t xml:space="preserve"> </w:t>
      </w:r>
      <w:r>
        <w:t xml:space="preserve">under the priced objective — so nothing here is claimed about them.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6005 to</w:t>
      </w:r>
      <w:r>
        <w:t xml:space="preserve"> </w:t>
      </w:r>
      <m:oMath>
        <m:r>
          <m:rPr>
            <m:sty m:val="p"/>
          </m:rPr>
          <m:t>∼</m:t>
        </m:r>
      </m:oMath>
      <w:r>
        <w:t xml:space="preserve">3690,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roughly two thirds of what previously looked like a library effect was a defective</w:t>
      </w:r>
      <w:r>
        <w:t xml:space="preserve"> </w:t>
      </w:r>
      <w:r>
        <w:t xml:space="preserve">objective. The direction survives; the magnitude does not.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8" w:name="tab:main"/>
    <w:p>
      <w:pPr>
        <w:pStyle w:val="MDPI41tablecaption"/>
        <w:keepNext/>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dxa" w:w="792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880"/>
        <w:gridCol w:w="880"/>
        <w:gridCol w:w="880"/>
        <w:gridCol w:w="880"/>
        <w:gridCol w:w="880"/>
        <w:gridCol w:w="880"/>
        <w:gridCol w:w="880"/>
        <w:gridCol w:w="880"/>
        <w:gridCol w:w="880"/>
      </w:tblGrid>
      <w:tr>
        <w:trPr>
          <w:tblHeader/>
          <w:cantSplit/>
        </w:trPr>
        <w:tc>
          <w:tcPr>
            <w:vAlign w:val="center"/>
            <w:tcBorders>
              <w:bottom w:val="single" w:sz="8" w:space="0" w:color="000000"/>
            </w:tcBorders>
          </w:tcPr>
          <w:p>
            <w:pPr>
              <w:pStyle w:val="MDPI42tablebody"/>
              <w:jc w:val="center"/>
            </w:pPr>
            <w:r>
              <w:rPr>
                <w:b/>
              </w:rPr>
              <w:t xml:space="preserve">Controller</w:t>
            </w:r>
          </w:p>
        </w:tc>
        <w:tc>
          <w:tcPr>
            <w:vAlign w:val="center"/>
            <w:tcBorders>
              <w:bottom w:val="single" w:sz="8" w:space="0" w:color="000000"/>
            </w:tcBorders>
          </w:tcPr>
          <w:p>
            <w:pPr>
              <w:pStyle w:val="MDPI42tablebody"/>
              <w:jc w:val="center"/>
            </w:pPr>
            <w:r>
              <w:rPr>
                <w:b/>
              </w:rPr>
              <w:t xml:space="preserve">Lib.</w:t>
            </w:r>
          </w:p>
        </w:tc>
        <w:tc>
          <w:tcPr>
            <w:vAlign w:val="center"/>
            <w:tcBorders>
              <w:bottom w:val="single" w:sz="8" w:space="0" w:color="000000"/>
            </w:tcBorders>
          </w:tcPr>
          <w:p>
            <w:pPr>
              <w:pStyle w:val="MDPI42tablebody"/>
              <w:jc w:val="center"/>
            </w:pPr>
            <w:r>
              <w:rPr>
                <w:b/>
              </w:rPr>
              <w:t xml:space="preserve">2020</w:t>
            </w:r>
          </w:p>
        </w:tc>
        <w:tc>
          <w:tcPr>
            <w:vAlign w:val="center"/>
            <w:tcBorders>
              <w:bottom w:val="single" w:sz="8" w:space="0" w:color="000000"/>
            </w:tcBorders>
          </w:tcPr>
          <w:p>
            <w:pPr>
              <w:pStyle w:val="MDPI42tablebody"/>
              <w:jc w:val="center"/>
            </w:pPr>
            <w:r>
              <w:rPr>
                <w:b/>
              </w:rPr>
              <w:t xml:space="preserve">2021</w:t>
            </w:r>
          </w:p>
        </w:tc>
        <w:tc>
          <w:tcPr>
            <w:vAlign w:val="center"/>
            <w:tcBorders>
              <w:bottom w:val="single" w:sz="8" w:space="0" w:color="000000"/>
            </w:tcBorders>
          </w:tcPr>
          <w:p>
            <w:pPr>
              <w:pStyle w:val="MDPI42tablebody"/>
              <w:jc w:val="center"/>
            </w:pPr>
            <w:r>
              <w:rPr>
                <w:b/>
              </w:rPr>
              <w:t xml:space="preserve">2022</w:t>
            </w:r>
          </w:p>
        </w:tc>
        <w:tc>
          <w:tcPr>
            <w:vAlign w:val="center"/>
            <w:tcBorders>
              <w:bottom w:val="single" w:sz="8" w:space="0" w:color="000000"/>
            </w:tcBorders>
          </w:tcPr>
          <w:p>
            <w:pPr>
              <w:pStyle w:val="MDPI42tablebody"/>
              <w:jc w:val="center"/>
            </w:pPr>
            <w:r>
              <w:rPr>
                <w:b/>
              </w:rPr>
              <w:t xml:space="preserve">2023</w:t>
            </w:r>
          </w:p>
        </w:tc>
        <w:tc>
          <w:tcPr>
            <w:vAlign w:val="center"/>
            <w:tcBorders>
              <w:bottom w:val="single" w:sz="8" w:space="0" w:color="000000"/>
            </w:tcBorders>
          </w:tcPr>
          <w:p>
            <w:pPr>
              <w:pStyle w:val="MDPI42tablebody"/>
              <w:jc w:val="center"/>
            </w:pPr>
            <w:r>
              <w:rPr>
                <w:b/>
              </w:rPr>
              <w:t xml:space="preserve">Four-season</w:t>
            </w:r>
          </w:p>
        </w:tc>
        <w:tc>
          <w:tcPr>
            <w:vAlign w:val="center"/>
            <w:tcBorders>
              <w:bottom w:val="single" w:sz="8" w:space="0" w:color="000000"/>
            </w:tcBorders>
          </w:tcPr>
          <w:p>
            <w:pPr>
              <w:pStyle w:val="MDPI42tablebody"/>
              <w:jc w:val="center"/>
            </w:pPr>
            <m:oMath>
              <m:r>
                <m:t>n</m:t>
              </m:r>
            </m:oMath>
            <w:r>
              <w:rPr>
                <w:b/>
              </w:rPr>
              <w:t xml:space="preserve">​</w:t>
            </w:r>
          </w:p>
        </w:tc>
        <w:tc>
          <w:tcPr>
            <w:vAlign w:val="center"/>
            <w:tcBorders>
              <w:bottom w:val="single" w:sz="8" w:space="0" w:color="000000"/>
            </w:tcBorders>
          </w:tcPr>
          <w:p>
            <w:pPr>
              <w:pStyle w:val="MDPI42tablebody"/>
              <w:jc w:val="center"/>
            </w:pPr>
            <w:r>
              <w:rPr>
                <w:b/>
              </w:rPr>
              <w:t xml:space="preserve">Viol. </w:t>
            </w:r>
          </w:p>
        </w:tc>
      </w:tr>
      <w:tr>
        <w:trPr>
          <w:cantSplit/>
        </w:trP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mean</w:t>
            </w:r>
            <w:r>
              <w:t xml:space="preserve"> </w:t>
            </w:r>
            <m:oMath>
              <m:r>
                <m:rPr>
                  <m:sty m:val="p"/>
                </m:rPr>
                <m:t>±</m:t>
              </m:r>
            </m:oMath>
            <w:r>
              <w:t xml:space="preserve"> </w:t>
            </w:r>
            <w:r>
              <w:t xml:space="preserve">SD</w:t>
            </w:r>
          </w:p>
        </w:tc>
        <w:tc>
          <w:tcPr>
            <w:vAlign w:val="center"/>
          </w:tcPr>
          <w:p>
            <w:pPr>
              <w:pStyle w:val="MDPI42tablebody"/>
              <w:jc w:val="center"/>
            </w:pPr>
          </w:p>
        </w:tc>
        <w:tc>
          <w:tcPr>
            <w:vAlign w:val="center"/>
          </w:tcPr>
          <w:p>
            <w:pPr>
              <w:pStyle w:val="MDPI42tablebody"/>
              <w:jc w:val="center"/>
            </w:pPr>
            <w:r>
              <w:t xml:space="preserve">steps</w:t>
            </w:r>
          </w:p>
        </w:tc>
      </w:tr>
      <w:tr>
        <w:trPr>
          <w:cantSplit/>
        </w:trPr>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raw</w:t>
            </w:r>
          </w:p>
        </w:tc>
        <w:tc>
          <w:tcPr>
            <w:vAlign w:val="center"/>
          </w:tcPr>
          <w:p>
            <w:pPr>
              <w:pStyle w:val="MDPI42tablebody"/>
              <w:jc w:val="center"/>
            </w:pPr>
            <m:oMath>
              <m:r>
                <m:t>9.10</m:t>
              </m:r>
              <m:r>
                <m:rPr>
                  <m:sty m:val="p"/>
                </m:rPr>
                <m:t>±</m:t>
              </m:r>
              <m:r>
                <m:t>0.36</m:t>
              </m:r>
            </m:oMath>
            <w:r>
              <w:t xml:space="preserve">​</w:t>
            </w:r>
          </w:p>
        </w:tc>
        <w:tc>
          <w:tcPr>
            <w:vAlign w:val="center"/>
          </w:tcPr>
          <w:p>
            <w:pPr>
              <w:pStyle w:val="MDPI42tablebody"/>
              <w:jc w:val="center"/>
            </w:pPr>
            <m:oMath>
              <m:r>
                <m:rPr>
                  <m:sty m:val="p"/>
                </m:rPr>
                <m:t>−</m:t>
              </m:r>
              <m:r>
                <m:t>1.56</m:t>
              </m:r>
              <m:r>
                <m:rPr>
                  <m:sty m:val="p"/>
                </m:rPr>
                <m:t>±</m:t>
              </m:r>
              <m:r>
                <m:t>0.58</m:t>
              </m:r>
            </m:oMath>
            <w:r>
              <w:t xml:space="preserve">​</w:t>
            </w:r>
          </w:p>
        </w:tc>
        <w:tc>
          <w:tcPr>
            <w:vAlign w:val="center"/>
          </w:tcPr>
          <w:p>
            <w:pPr>
              <w:pStyle w:val="MDPI42tablebody"/>
              <w:jc w:val="center"/>
            </w:pPr>
            <m:oMath>
              <m:r>
                <m:t>4.62</m:t>
              </m:r>
              <m:r>
                <m:rPr>
                  <m:sty m:val="p"/>
                </m:rPr>
                <m:t>±</m:t>
              </m:r>
              <m:r>
                <m:t>2.70</m:t>
              </m:r>
            </m:oMath>
            <w:r>
              <w:t xml:space="preserve">​</w:t>
            </w:r>
          </w:p>
        </w:tc>
        <w:tc>
          <w:tcPr>
            <w:vAlign w:val="center"/>
          </w:tcPr>
          <w:p>
            <w:pPr>
              <w:pStyle w:val="MDPI42tablebody"/>
              <w:jc w:val="center"/>
            </w:pPr>
            <m:oMath>
              <m:r>
                <m:t>5.10</m:t>
              </m:r>
              <m:r>
                <m:rPr>
                  <m:sty m:val="p"/>
                </m:rPr>
                <m:t>±</m:t>
              </m:r>
              <m:r>
                <m:t>0.39</m:t>
              </m:r>
            </m:oMath>
            <w:r>
              <w:t xml:space="preserve">​</w:t>
            </w:r>
          </w:p>
        </w:tc>
        <w:tc>
          <w:tcPr>
            <w:vAlign w:val="center"/>
          </w:tcPr>
          <w:p>
            <w:pPr>
              <w:pStyle w:val="MDPI42tablebody"/>
              <w:jc w:val="center"/>
            </w:pPr>
            <m:oMath>
              <m:r>
                <m:rPr>
                  <m:sty m:val="b"/>
                </m:rPr>
                <m:t>+</m:t>
              </m:r>
              <m:r>
                <m:rPr>
                  <m:sty m:val="b"/>
                </m:rPr>
                <m:t>4.32</m:t>
              </m:r>
              <m:r>
                <m:rPr>
                  <m:sty m:val="b"/>
                </m:rPr>
                <m:t>±</m:t>
              </m:r>
              <m:r>
                <m:rPr>
                  <m:sty m:val="b"/>
                </m:rPr>
                <m:t>4.08</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4130</w:t>
            </w:r>
          </w:p>
        </w:tc>
      </w:tr>
      <w:tr>
        <w:trPr>
          <w:cantSplit/>
        </w:trPr>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raw</w:t>
            </w:r>
          </w:p>
        </w:tc>
        <w:tc>
          <w:tcPr>
            <w:vAlign w:val="center"/>
          </w:tcPr>
          <w:p>
            <w:pPr>
              <w:pStyle w:val="MDPI42tablebody"/>
              <w:jc w:val="center"/>
            </w:pPr>
            <m:oMath>
              <m:r>
                <m:t>8.40</m:t>
              </m:r>
              <m:r>
                <m:rPr>
                  <m:sty m:val="p"/>
                </m:rPr>
                <m:t>±</m:t>
              </m:r>
              <m:r>
                <m:t>2.24</m:t>
              </m:r>
            </m:oMath>
            <w:r>
              <w:t xml:space="preserve">​</w:t>
            </w:r>
          </w:p>
        </w:tc>
        <w:tc>
          <w:tcPr>
            <w:vAlign w:val="center"/>
          </w:tcPr>
          <w:p>
            <w:pPr>
              <w:pStyle w:val="MDPI42tablebody"/>
              <w:jc w:val="center"/>
            </w:pPr>
            <m:oMath>
              <m:r>
                <m:rPr>
                  <m:sty m:val="p"/>
                </m:rPr>
                <m:t>−</m:t>
              </m:r>
              <m:r>
                <m:t>1.71</m:t>
              </m:r>
              <m:r>
                <m:rPr>
                  <m:sty m:val="p"/>
                </m:rPr>
                <m:t>±</m:t>
              </m:r>
              <m:r>
                <m:t>0.70</m:t>
              </m:r>
            </m:oMath>
            <w:r>
              <w:t xml:space="preserve">​</w:t>
            </w:r>
          </w:p>
        </w:tc>
        <w:tc>
          <w:tcPr>
            <w:vAlign w:val="center"/>
          </w:tcPr>
          <w:p>
            <w:pPr>
              <w:pStyle w:val="MDPI42tablebody"/>
              <w:jc w:val="center"/>
            </w:pPr>
            <m:oMath>
              <m:r>
                <m:t>4.04</m:t>
              </m:r>
              <m:r>
                <m:rPr>
                  <m:sty m:val="p"/>
                </m:rPr>
                <m:t>±</m:t>
              </m:r>
              <m:r>
                <m:t>3.40</m:t>
              </m:r>
            </m:oMath>
            <w:r>
              <w:t xml:space="preserve">​</w:t>
            </w:r>
          </w:p>
        </w:tc>
        <w:tc>
          <w:tcPr>
            <w:vAlign w:val="center"/>
          </w:tcPr>
          <w:p>
            <w:pPr>
              <w:pStyle w:val="MDPI42tablebody"/>
              <w:jc w:val="center"/>
            </w:pPr>
            <m:oMath>
              <m:r>
                <m:t>4.61</m:t>
              </m:r>
              <m:r>
                <m:rPr>
                  <m:sty m:val="p"/>
                </m:rPr>
                <m:t>±</m:t>
              </m:r>
              <m:r>
                <m:t>1.59</m:t>
              </m:r>
            </m:oMath>
            <w:r>
              <w:t xml:space="preserve">​</w:t>
            </w:r>
          </w:p>
        </w:tc>
        <w:tc>
          <w:tcPr>
            <w:vAlign w:val="center"/>
          </w:tcPr>
          <w:p>
            <w:pPr>
              <w:pStyle w:val="MDPI42tablebody"/>
              <w:jc w:val="center"/>
            </w:pPr>
            <m:oMath>
              <m:r>
                <m:rPr>
                  <m:sty m:val="p"/>
                </m:rPr>
                <m:t>+</m:t>
              </m:r>
              <m:r>
                <m:t>3.83</m:t>
              </m:r>
              <m:r>
                <m:rPr>
                  <m:sty m:val="p"/>
                </m:rPr>
                <m:t>±</m:t>
              </m:r>
              <m:r>
                <m:t>4.23</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4466</w:t>
            </w:r>
          </w:p>
        </w:tc>
      </w:tr>
      <w:tr>
        <w:trPr>
          <w:cantSplit/>
        </w:trPr>
        <w:tc>
          <w:tcPr>
            <w:vAlign w:val="center"/>
          </w:tcPr>
          <w:p>
            <w:pPr>
              <w:pStyle w:val="MDPI42tablebody"/>
              <w:jc w:val="center"/>
            </w:pPr>
            <w:r>
              <w:rPr>
                <w:rStyle w:val="VerbatimChar"/>
              </w:rPr>
              <w:t xml:space="preserve">sindy_mpc_lowthr</w:t>
            </w:r>
          </w:p>
        </w:tc>
        <w:tc>
          <w:tcPr>
            <w:vAlign w:val="center"/>
          </w:tcPr>
          <w:p>
            <w:pPr>
              <w:pStyle w:val="MDPI42tablebody"/>
              <w:jc w:val="center"/>
            </w:pPr>
            <w:r>
              <w:t xml:space="preserve">p_nc</w:t>
            </w:r>
          </w:p>
        </w:tc>
        <w:tc>
          <w:tcPr>
            <w:vAlign w:val="center"/>
          </w:tcPr>
          <w:p>
            <w:pPr>
              <w:pStyle w:val="MDPI42tablebody"/>
              <w:jc w:val="center"/>
            </w:pPr>
            <m:oMath>
              <m:r>
                <m:t>6.58</m:t>
              </m:r>
              <m:r>
                <m:rPr>
                  <m:sty m:val="p"/>
                </m:rPr>
                <m:t>±</m:t>
              </m:r>
              <m:r>
                <m:t>1.25</m:t>
              </m:r>
            </m:oMath>
            <w:r>
              <w:t xml:space="preserve">​</w:t>
            </w:r>
          </w:p>
        </w:tc>
        <w:tc>
          <w:tcPr>
            <w:vAlign w:val="center"/>
          </w:tcPr>
          <w:p>
            <w:pPr>
              <w:pStyle w:val="MDPI42tablebody"/>
              <w:jc w:val="center"/>
            </w:pPr>
            <m:oMath>
              <m:r>
                <m:t>0.27</m:t>
              </m:r>
              <m:r>
                <m:rPr>
                  <m:sty m:val="p"/>
                </m:rPr>
                <m:t>±</m:t>
              </m:r>
              <m:r>
                <m:t>1.73</m:t>
              </m:r>
            </m:oMath>
            <w:r>
              <w:t xml:space="preserve">​</w:t>
            </w:r>
          </w:p>
        </w:tc>
        <w:tc>
          <w:tcPr>
            <w:vAlign w:val="center"/>
          </w:tcPr>
          <w:p>
            <w:pPr>
              <w:pStyle w:val="MDPI42tablebody"/>
              <w:jc w:val="center"/>
            </w:pPr>
            <m:oMath>
              <m:r>
                <m:t>3.22</m:t>
              </m:r>
              <m:r>
                <m:rPr>
                  <m:sty m:val="p"/>
                </m:rPr>
                <m:t>±</m:t>
              </m:r>
              <m:r>
                <m:t>1.35</m:t>
              </m:r>
            </m:oMath>
            <w:r>
              <w:t xml:space="preserve">​</w:t>
            </w:r>
          </w:p>
        </w:tc>
        <w:tc>
          <w:tcPr>
            <w:vAlign w:val="center"/>
          </w:tcPr>
          <w:p>
            <w:pPr>
              <w:pStyle w:val="MDPI42tablebody"/>
              <w:jc w:val="center"/>
            </w:pPr>
            <m:oMath>
              <m:r>
                <m:t>2.29</m:t>
              </m:r>
              <m:r>
                <m:rPr>
                  <m:sty m:val="p"/>
                </m:rPr>
                <m:t>±</m:t>
              </m:r>
              <m:r>
                <m:t>1.48</m:t>
              </m:r>
            </m:oMath>
            <w:r>
              <w:t xml:space="preserve">​</w:t>
            </w:r>
          </w:p>
        </w:tc>
        <w:tc>
          <w:tcPr>
            <w:vAlign w:val="center"/>
          </w:tcPr>
          <w:p>
            <w:pPr>
              <w:pStyle w:val="MDPI42tablebody"/>
              <w:jc w:val="center"/>
            </w:pPr>
            <m:oMath>
              <m:r>
                <m:rPr>
                  <m:sty m:val="p"/>
                </m:rPr>
                <m:t>+</m:t>
              </m:r>
              <m:r>
                <m:t>3.09</m:t>
              </m:r>
              <m:r>
                <m:rPr>
                  <m:sty m:val="p"/>
                </m:rPr>
                <m:t>±</m:t>
              </m:r>
              <m:r>
                <m:t>2.71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3692</w:t>
            </w:r>
          </w:p>
        </w:tc>
      </w:tr>
      <w:tr>
        <w:trPr>
          <w:cantSplit/>
        </w:trPr>
        <w:tc>
          <w:tcPr>
            <w:vAlign w:val="center"/>
          </w:tcPr>
          <w:p>
            <w:pPr>
              <w:pStyle w:val="MDPI42tablebody"/>
              <w:jc w:val="center"/>
            </w:pPr>
            <w:r>
              <w:rPr>
                <w:rStyle w:val="VerbatimChar"/>
              </w:rPr>
              <w:t xml:space="preserve">sindy_mpc_dense</w:t>
            </w:r>
          </w:p>
        </w:tc>
        <w:tc>
          <w:tcPr>
            <w:vAlign w:val="center"/>
          </w:tcPr>
          <w:p>
            <w:pPr>
              <w:pStyle w:val="MDPI42tablebody"/>
              <w:jc w:val="center"/>
            </w:pPr>
            <w:r>
              <w:t xml:space="preserve">p_nc</w:t>
            </w:r>
          </w:p>
        </w:tc>
        <w:tc>
          <w:tcPr>
            <w:vAlign w:val="center"/>
          </w:tcPr>
          <w:p>
            <w:pPr>
              <w:pStyle w:val="MDPI42tablebody"/>
              <w:jc w:val="center"/>
            </w:pPr>
            <m:oMath>
              <m:r>
                <m:t>6.58</m:t>
              </m:r>
              <m:r>
                <m:rPr>
                  <m:sty m:val="p"/>
                </m:rPr>
                <m:t>±</m:t>
              </m:r>
              <m:r>
                <m:t>1.23</m:t>
              </m:r>
            </m:oMath>
            <w:r>
              <w:t xml:space="preserve">​</w:t>
            </w:r>
          </w:p>
        </w:tc>
        <w:tc>
          <w:tcPr>
            <w:vAlign w:val="center"/>
          </w:tcPr>
          <w:p>
            <w:pPr>
              <w:pStyle w:val="MDPI42tablebody"/>
              <w:jc w:val="center"/>
            </w:pPr>
            <m:oMath>
              <m:r>
                <m:t>0.25</m:t>
              </m:r>
              <m:r>
                <m:rPr>
                  <m:sty m:val="p"/>
                </m:rPr>
                <m:t>±</m:t>
              </m:r>
              <m:r>
                <m:t>1.71</m:t>
              </m:r>
            </m:oMath>
            <w:r>
              <w:t xml:space="preserve">​</w:t>
            </w:r>
          </w:p>
        </w:tc>
        <w:tc>
          <w:tcPr>
            <w:vAlign w:val="center"/>
          </w:tcPr>
          <w:p>
            <w:pPr>
              <w:pStyle w:val="MDPI42tablebody"/>
              <w:jc w:val="center"/>
            </w:pPr>
            <m:oMath>
              <m:r>
                <m:t>3.21</m:t>
              </m:r>
              <m:r>
                <m:rPr>
                  <m:sty m:val="p"/>
                </m:rPr>
                <m:t>±</m:t>
              </m:r>
              <m:r>
                <m:t>1.34</m:t>
              </m:r>
            </m:oMath>
            <w:r>
              <w:t xml:space="preserve">​</w:t>
            </w:r>
          </w:p>
        </w:tc>
        <w:tc>
          <w:tcPr>
            <w:vAlign w:val="center"/>
          </w:tcPr>
          <w:p>
            <w:pPr>
              <w:pStyle w:val="MDPI42tablebody"/>
              <w:jc w:val="center"/>
            </w:pPr>
            <m:oMath>
              <m:r>
                <m:t>2.29</m:t>
              </m:r>
              <m:r>
                <m:rPr>
                  <m:sty m:val="p"/>
                </m:rPr>
                <m:t>±</m:t>
              </m:r>
              <m:r>
                <m:t>1.45</m:t>
              </m:r>
            </m:oMath>
            <w:r>
              <w:t xml:space="preserve">​</w:t>
            </w:r>
          </w:p>
        </w:tc>
        <w:tc>
          <w:tcPr>
            <w:vAlign w:val="center"/>
          </w:tcPr>
          <w:p>
            <w:pPr>
              <w:pStyle w:val="MDPI42tablebody"/>
              <w:jc w:val="center"/>
            </w:pPr>
            <m:oMath>
              <m:r>
                <m:rPr>
                  <m:sty m:val="p"/>
                </m:rPr>
                <m:t>+</m:t>
              </m:r>
              <m:r>
                <m:t>3.08</m:t>
              </m:r>
              <m:r>
                <m:rPr>
                  <m:sty m:val="p"/>
                </m:rPr>
                <m:t>±</m:t>
              </m:r>
              <m:r>
                <m:t>2.70</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3686</w:t>
            </w:r>
          </w:p>
        </w:tc>
      </w:tr>
      <w:tr>
        <w:trPr>
          <w:cantSplit/>
        </w:trPr>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phys</w:t>
            </w:r>
          </w:p>
        </w:tc>
        <w:tc>
          <w:tcPr>
            <w:vAlign w:val="center"/>
          </w:tcPr>
          <w:p>
            <w:pPr>
              <w:pStyle w:val="MDPI42tablebody"/>
              <w:jc w:val="center"/>
            </w:pPr>
            <m:oMath>
              <m:r>
                <m:t>6.35</m:t>
              </m:r>
              <m:r>
                <m:rPr>
                  <m:sty m:val="p"/>
                </m:rPr>
                <m:t>±</m:t>
              </m:r>
              <m:r>
                <m:t>2.12</m:t>
              </m:r>
            </m:oMath>
            <w:r>
              <w:t xml:space="preserve">​</w:t>
            </w:r>
          </w:p>
        </w:tc>
        <w:tc>
          <w:tcPr>
            <w:vAlign w:val="center"/>
          </w:tcPr>
          <w:p>
            <w:pPr>
              <w:pStyle w:val="MDPI42tablebody"/>
              <w:jc w:val="center"/>
            </w:pPr>
            <m:oMath>
              <m:r>
                <m:rPr>
                  <m:sty m:val="p"/>
                </m:rPr>
                <m:t>−</m:t>
              </m:r>
              <m:r>
                <m:t>1.91</m:t>
              </m:r>
              <m:r>
                <m:rPr>
                  <m:sty m:val="p"/>
                </m:rPr>
                <m:t>±</m:t>
              </m:r>
              <m:r>
                <m:t>0.87</m:t>
              </m:r>
            </m:oMath>
            <w:r>
              <w:t xml:space="preserve">​</w:t>
            </w:r>
          </w:p>
        </w:tc>
        <w:tc>
          <w:tcPr>
            <w:vAlign w:val="center"/>
          </w:tcPr>
          <w:p>
            <w:pPr>
              <w:pStyle w:val="MDPI42tablebody"/>
              <w:jc w:val="center"/>
            </w:pPr>
            <m:oMath>
              <m:r>
                <m:t>3.07</m:t>
              </m:r>
              <m:r>
                <m:rPr>
                  <m:sty m:val="p"/>
                </m:rPr>
                <m:t>±</m:t>
              </m:r>
              <m:r>
                <m:t>2.34</m:t>
              </m:r>
            </m:oMath>
            <w:r>
              <w:t xml:space="preserve">​</w:t>
            </w:r>
          </w:p>
        </w:tc>
        <w:tc>
          <w:tcPr>
            <w:vAlign w:val="center"/>
          </w:tcPr>
          <w:p>
            <w:pPr>
              <w:pStyle w:val="MDPI42tablebody"/>
              <w:jc w:val="center"/>
            </w:pPr>
            <m:oMath>
              <m:r>
                <m:t>3.51</m:t>
              </m:r>
              <m:r>
                <m:rPr>
                  <m:sty m:val="p"/>
                </m:rPr>
                <m:t>±</m:t>
              </m:r>
              <m:r>
                <m:t>1.44</m:t>
              </m:r>
            </m:oMath>
            <w:r>
              <w:t xml:space="preserve">​</w:t>
            </w:r>
          </w:p>
        </w:tc>
        <w:tc>
          <w:tcPr>
            <w:vAlign w:val="center"/>
          </w:tcPr>
          <w:p>
            <w:pPr>
              <w:pStyle w:val="MDPI42tablebody"/>
              <w:jc w:val="center"/>
            </w:pPr>
            <m:oMath>
              <m:r>
                <m:rPr>
                  <m:sty m:val="p"/>
                </m:rPr>
                <m:t>+</m:t>
              </m:r>
              <m:r>
                <m:t>2.75</m:t>
              </m:r>
              <m:r>
                <m:rPr>
                  <m:sty m:val="p"/>
                </m:rPr>
                <m:t>±</m:t>
              </m:r>
              <m:r>
                <m:t>3.47</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4193</w:t>
            </w:r>
          </w:p>
        </w:tc>
      </w:tr>
      <w:tr>
        <w:trPr>
          <w:cantSplit/>
        </w:trPr>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phys</w:t>
            </w:r>
          </w:p>
        </w:tc>
        <w:tc>
          <w:tcPr>
            <w:vAlign w:val="center"/>
          </w:tcPr>
          <w:p>
            <w:pPr>
              <w:pStyle w:val="MDPI42tablebody"/>
              <w:jc w:val="center"/>
            </w:pPr>
            <m:oMath>
              <m:r>
                <m:t>5.82</m:t>
              </m:r>
              <m:r>
                <m:rPr>
                  <m:sty m:val="p"/>
                </m:rPr>
                <m:t>±</m:t>
              </m:r>
              <m:r>
                <m:t>2.87</m:t>
              </m:r>
            </m:oMath>
            <w:r>
              <w:t xml:space="preserve">​</w:t>
            </w:r>
          </w:p>
        </w:tc>
        <w:tc>
          <w:tcPr>
            <w:vAlign w:val="center"/>
          </w:tcPr>
          <w:p>
            <w:pPr>
              <w:pStyle w:val="MDPI42tablebody"/>
              <w:jc w:val="center"/>
            </w:pPr>
            <m:oMath>
              <m:r>
                <m:rPr>
                  <m:sty m:val="p"/>
                </m:rPr>
                <m:t>−</m:t>
              </m:r>
              <m:r>
                <m:t>2.02</m:t>
              </m:r>
              <m:r>
                <m:rPr>
                  <m:sty m:val="p"/>
                </m:rPr>
                <m:t>±</m:t>
              </m:r>
              <m:r>
                <m:t>1.01</m:t>
              </m:r>
            </m:oMath>
            <w:r>
              <w:t xml:space="preserve">​</w:t>
            </w:r>
          </w:p>
        </w:tc>
        <w:tc>
          <w:tcPr>
            <w:vAlign w:val="center"/>
          </w:tcPr>
          <w:p>
            <w:pPr>
              <w:pStyle w:val="MDPI42tablebody"/>
              <w:jc w:val="center"/>
            </w:pPr>
            <m:oMath>
              <m:r>
                <m:t>2.89</m:t>
              </m:r>
              <m:r>
                <m:rPr>
                  <m:sty m:val="p"/>
                </m:rPr>
                <m:t>±</m:t>
              </m:r>
              <m:r>
                <m:t>2.76</m:t>
              </m:r>
            </m:oMath>
            <w:r>
              <w:t xml:space="preserve">​</w:t>
            </w:r>
          </w:p>
        </w:tc>
        <w:tc>
          <w:tcPr>
            <w:vAlign w:val="center"/>
          </w:tcPr>
          <w:p>
            <w:pPr>
              <w:pStyle w:val="MDPI42tablebody"/>
              <w:jc w:val="center"/>
            </w:pPr>
            <m:oMath>
              <m:r>
                <m:t>3.22</m:t>
              </m:r>
              <m:r>
                <m:rPr>
                  <m:sty m:val="p"/>
                </m:rPr>
                <m:t>±</m:t>
              </m:r>
              <m:r>
                <m:t>1.98</m:t>
              </m:r>
            </m:oMath>
            <w:r>
              <w:t xml:space="preserve">​</w:t>
            </w:r>
          </w:p>
        </w:tc>
        <w:tc>
          <w:tcPr>
            <w:vAlign w:val="center"/>
          </w:tcPr>
          <w:p>
            <w:pPr>
              <w:pStyle w:val="MDPI42tablebody"/>
              <w:jc w:val="center"/>
            </w:pPr>
            <m:oMath>
              <m:r>
                <m:rPr>
                  <m:sty m:val="p"/>
                </m:rPr>
                <m:t>+</m:t>
              </m:r>
              <m:r>
                <m:t>2.48</m:t>
              </m:r>
              <m:r>
                <m:rPr>
                  <m:sty m:val="p"/>
                </m:rPr>
                <m:t>±</m:t>
              </m:r>
              <m:r>
                <m:t>3.62</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4174</w:t>
            </w:r>
          </w:p>
        </w:tc>
      </w:tr>
      <w:tr>
        <w:trPr>
          <w:cantSplit/>
        </w:trPr>
        <w:tc>
          <w:tcPr>
            <w:vAlign w:val="center"/>
          </w:tcPr>
          <w:p>
            <w:pPr>
              <w:pStyle w:val="MDPI42tablebody"/>
              <w:jc w:val="center"/>
            </w:pPr>
            <w:r>
              <w:rPr>
                <w:rStyle w:val="VerbatimChar"/>
              </w:rPr>
              <w:t xml:space="preserve">rule_based_tuned</w:t>
            </w:r>
          </w:p>
        </w:tc>
        <w:tc>
          <w:tcPr>
            <w:vAlign w:val="center"/>
          </w:tcPr>
          <w:p>
            <w:pPr>
              <w:pStyle w:val="MDPI42tablebody"/>
              <w:jc w:val="center"/>
            </w:pPr>
            <w:r>
              <w:t xml:space="preserve">—</w:t>
            </w:r>
          </w:p>
        </w:tc>
        <w:tc>
          <w:tcPr>
            <w:vAlign w:val="center"/>
          </w:tcPr>
          <w:p>
            <w:pPr>
              <w:pStyle w:val="MDPI42tablebody"/>
              <w:jc w:val="center"/>
            </w:pPr>
            <m:oMath>
              <m:r>
                <m:t>6.29</m:t>
              </m:r>
            </m:oMath>
            <w:r>
              <w:t xml:space="preserve">​</w:t>
            </w:r>
          </w:p>
        </w:tc>
        <w:tc>
          <w:tcPr>
            <w:vAlign w:val="center"/>
          </w:tcPr>
          <w:p>
            <w:pPr>
              <w:pStyle w:val="MDPI42tablebody"/>
              <w:jc w:val="center"/>
            </w:pPr>
            <m:oMath>
              <m:r>
                <m:rPr>
                  <m:sty m:val="p"/>
                </m:rPr>
                <m:t>−</m:t>
              </m:r>
              <m:r>
                <m:t>1.99</m:t>
              </m:r>
            </m:oMath>
            <w:r>
              <w:t xml:space="preserve">​</w:t>
            </w:r>
          </w:p>
        </w:tc>
        <w:tc>
          <w:tcPr>
            <w:vAlign w:val="center"/>
          </w:tcPr>
          <w:p>
            <w:pPr>
              <w:pStyle w:val="MDPI42tablebody"/>
              <w:jc w:val="center"/>
            </w:pPr>
            <m:oMath>
              <m:r>
                <m:t>2.81</m:t>
              </m:r>
            </m:oMath>
            <w:r>
              <w:t xml:space="preserve">​</w:t>
            </w:r>
          </w:p>
        </w:tc>
        <w:tc>
          <w:tcPr>
            <w:vAlign w:val="center"/>
          </w:tcPr>
          <w:p>
            <w:pPr>
              <w:pStyle w:val="MDPI42tablebody"/>
              <w:jc w:val="center"/>
            </w:pPr>
            <m:oMath>
              <m:r>
                <m:t>1.94</m:t>
              </m:r>
            </m:oMath>
            <w:r>
              <w:t xml:space="preserve">​</w:t>
            </w:r>
          </w:p>
        </w:tc>
        <w:tc>
          <w:tcPr>
            <w:vAlign w:val="center"/>
          </w:tcPr>
          <w:p>
            <w:pPr>
              <w:pStyle w:val="MDPI42tablebody"/>
              <w:jc w:val="center"/>
            </w:pPr>
            <m:oMath>
              <m:r>
                <m:rPr>
                  <m:sty m:val="p"/>
                </m:rPr>
                <m:t>+</m:t>
              </m:r>
              <m:r>
                <m:t>2.26</m:t>
              </m:r>
            </m:oMath>
            <w:r>
              <w:t xml:space="preserve">​</w:t>
            </w:r>
          </w:p>
        </w:tc>
        <w:tc>
          <w:tcPr>
            <w:vAlign w:val="center"/>
          </w:tcPr>
          <w:p>
            <w:pPr>
              <w:pStyle w:val="MDPI42tablebody"/>
              <w:jc w:val="center"/>
            </w:pPr>
            <w:r>
              <w:t xml:space="preserve">4</w:t>
            </w:r>
          </w:p>
        </w:tc>
        <w:tc>
          <w:tcPr>
            <w:vAlign w:val="center"/>
          </w:tcPr>
          <w:p>
            <w:pPr>
              <w:pStyle w:val="MDPI42tablebody"/>
              <w:jc w:val="center"/>
            </w:pPr>
            <w:r>
              <w:t xml:space="preserve">4339</w:t>
            </w:r>
          </w:p>
        </w:tc>
      </w:tr>
      <w:tr>
        <w:trPr>
          <w:cantSplit/>
        </w:trPr>
        <w:tc>
          <w:tcPr>
            <w:vAlign w:val="center"/>
          </w:tcPr>
          <w:p>
            <w:pPr>
              <w:pStyle w:val="MDPI42tablebody"/>
              <w:jc w:val="center"/>
            </w:pPr>
            <w:r>
              <w:rPr>
                <w:rStyle w:val="VerbatimChar"/>
              </w:rPr>
              <w:t xml:space="preserve">sindy_mpc_conf_dagger</w:t>
            </w:r>
          </w:p>
        </w:tc>
        <w:tc>
          <w:tcPr>
            <w:vAlign w:val="center"/>
          </w:tcPr>
          <w:p>
            <w:pPr>
              <w:pStyle w:val="MDPI42tablebody"/>
              <w:jc w:val="center"/>
            </w:pPr>
            <w:r>
              <w:t xml:space="preserve">p_nc</w:t>
            </w:r>
          </w:p>
        </w:tc>
        <w:tc>
          <w:tcPr>
            <w:vAlign w:val="center"/>
          </w:tcPr>
          <w:p>
            <w:pPr>
              <w:pStyle w:val="MDPI42tablebody"/>
              <w:jc w:val="center"/>
            </w:pPr>
            <m:oMath>
              <m:r>
                <m:t>4.56</m:t>
              </m:r>
              <m:r>
                <m:rPr>
                  <m:sty m:val="p"/>
                </m:rPr>
                <m:t>±</m:t>
              </m:r>
              <m:r>
                <m:t>3.09</m:t>
              </m:r>
            </m:oMath>
            <w:r>
              <w:t xml:space="preserve">​</w:t>
            </w:r>
          </w:p>
        </w:tc>
        <w:tc>
          <w:tcPr>
            <w:vAlign w:val="center"/>
          </w:tcPr>
          <w:p>
            <w:pPr>
              <w:pStyle w:val="MDPI42tablebody"/>
              <w:jc w:val="center"/>
            </w:pPr>
            <m:oMath>
              <m:r>
                <m:rPr>
                  <m:sty m:val="p"/>
                </m:rPr>
                <m:t>−</m:t>
              </m:r>
              <m:r>
                <m:t>1.73</m:t>
              </m:r>
              <m:r>
                <m:rPr>
                  <m:sty m:val="p"/>
                </m:rPr>
                <m:t>±</m:t>
              </m:r>
              <m:r>
                <m:t>2.43</m:t>
              </m:r>
            </m:oMath>
            <w:r>
              <w:t xml:space="preserve">​</w:t>
            </w:r>
          </w:p>
        </w:tc>
        <w:tc>
          <w:tcPr>
            <w:vAlign w:val="center"/>
          </w:tcPr>
          <w:p>
            <w:pPr>
              <w:pStyle w:val="MDPI42tablebody"/>
              <w:jc w:val="center"/>
            </w:pPr>
            <m:oMath>
              <m:r>
                <m:t>2.23</m:t>
              </m:r>
              <m:r>
                <m:rPr>
                  <m:sty m:val="p"/>
                </m:rPr>
                <m:t>±</m:t>
              </m:r>
              <m:r>
                <m:t>3.74</m:t>
              </m:r>
            </m:oMath>
            <w:r>
              <w:t xml:space="preserve">​</w:t>
            </w:r>
          </w:p>
        </w:tc>
        <w:tc>
          <w:tcPr>
            <w:vAlign w:val="center"/>
          </w:tcPr>
          <w:p>
            <w:pPr>
              <w:pStyle w:val="MDPI42tablebody"/>
              <w:jc w:val="center"/>
            </w:pPr>
            <m:oMath>
              <m:r>
                <m:t>1.57</m:t>
              </m:r>
              <m:r>
                <m:rPr>
                  <m:sty m:val="p"/>
                </m:rPr>
                <m:t>±</m:t>
              </m:r>
              <m:r>
                <m:t>2.52</m:t>
              </m:r>
            </m:oMath>
            <w:r>
              <w:t xml:space="preserve">​</w:t>
            </w:r>
          </w:p>
        </w:tc>
        <w:tc>
          <w:tcPr>
            <w:vAlign w:val="center"/>
          </w:tcPr>
          <w:p>
            <w:pPr>
              <w:pStyle w:val="MDPI42tablebody"/>
              <w:jc w:val="center"/>
            </w:pPr>
            <m:oMath>
              <m:r>
                <m:rPr>
                  <m:sty m:val="p"/>
                </m:rPr>
                <m:t>+</m:t>
              </m:r>
              <m:r>
                <m:t>1.66</m:t>
              </m:r>
              <m:r>
                <m:rPr>
                  <m:sty m:val="p"/>
                </m:rPr>
                <m:t>±</m:t>
              </m:r>
              <m:r>
                <m:t>3.71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4138</w:t>
            </w:r>
          </w:p>
        </w:tc>
      </w:tr>
      <w:tr>
        <w:trPr>
          <w:cantSplit/>
        </w:trPr>
        <w:tc>
          <w:tcPr>
            <w:vAlign w:val="center"/>
          </w:tcPr>
          <w:p>
            <w:pPr>
              <w:pStyle w:val="MDPI42tablebody"/>
              <w:jc w:val="center"/>
            </w:pPr>
            <w:r>
              <w:rPr>
                <w:rStyle w:val="VerbatimChar"/>
              </w:rPr>
              <w:t xml:space="preserve">sindy_mpc_dense_dagger</w:t>
            </w:r>
          </w:p>
        </w:tc>
        <w:tc>
          <w:tcPr>
            <w:vAlign w:val="center"/>
          </w:tcPr>
          <w:p>
            <w:pPr>
              <w:pStyle w:val="MDPI42tablebody"/>
              <w:jc w:val="center"/>
            </w:pPr>
            <w:r>
              <w:t xml:space="preserve">p_nc</w:t>
            </w:r>
          </w:p>
        </w:tc>
        <w:tc>
          <w:tcPr>
            <w:vAlign w:val="center"/>
          </w:tcPr>
          <w:p>
            <w:pPr>
              <w:pStyle w:val="MDPI42tablebody"/>
              <w:jc w:val="center"/>
            </w:pPr>
            <m:oMath>
              <m:r>
                <m:t>4.74</m:t>
              </m:r>
              <m:r>
                <m:rPr>
                  <m:sty m:val="p"/>
                </m:rPr>
                <m:t>±</m:t>
              </m:r>
              <m:r>
                <m:t>2.59</m:t>
              </m:r>
            </m:oMath>
            <w:r>
              <w:t xml:space="preserve">​</w:t>
            </w:r>
          </w:p>
        </w:tc>
        <w:tc>
          <w:tcPr>
            <w:vAlign w:val="center"/>
          </w:tcPr>
          <w:p>
            <w:pPr>
              <w:pStyle w:val="MDPI42tablebody"/>
              <w:jc w:val="center"/>
            </w:pPr>
            <m:oMath>
              <m:r>
                <m:rPr>
                  <m:sty m:val="p"/>
                </m:rPr>
                <m:t>−</m:t>
              </m:r>
              <m:r>
                <m:t>1.59</m:t>
              </m:r>
              <m:r>
                <m:rPr>
                  <m:sty m:val="p"/>
                </m:rPr>
                <m:t>±</m:t>
              </m:r>
              <m:r>
                <m:t>1.09</m:t>
              </m:r>
            </m:oMath>
            <w:r>
              <w:t xml:space="preserve">​</w:t>
            </w:r>
          </w:p>
        </w:tc>
        <w:tc>
          <w:tcPr>
            <w:vAlign w:val="center"/>
          </w:tcPr>
          <w:p>
            <w:pPr>
              <w:pStyle w:val="MDPI42tablebody"/>
              <w:jc w:val="center"/>
            </w:pPr>
            <m:oMath>
              <m:r>
                <m:t>1.70</m:t>
              </m:r>
              <m:r>
                <m:rPr>
                  <m:sty m:val="p"/>
                </m:rPr>
                <m:t>±</m:t>
              </m:r>
              <m:r>
                <m:t>1.78</m:t>
              </m:r>
            </m:oMath>
            <w:r>
              <w:t xml:space="preserve">​</w:t>
            </w:r>
          </w:p>
        </w:tc>
        <w:tc>
          <w:tcPr>
            <w:vAlign w:val="center"/>
          </w:tcPr>
          <w:p>
            <w:pPr>
              <w:pStyle w:val="MDPI42tablebody"/>
              <w:jc w:val="center"/>
            </w:pPr>
            <m:oMath>
              <m:r>
                <m:t>0.63</m:t>
              </m:r>
              <m:r>
                <m:rPr>
                  <m:sty m:val="p"/>
                </m:rPr>
                <m:t>±</m:t>
              </m:r>
              <m:r>
                <m:t>1.37</m:t>
              </m:r>
            </m:oMath>
            <w:r>
              <w:t xml:space="preserve">​</w:t>
            </w:r>
          </w:p>
        </w:tc>
        <w:tc>
          <w:tcPr>
            <w:vAlign w:val="center"/>
          </w:tcPr>
          <w:p>
            <w:pPr>
              <w:pStyle w:val="MDPI42tablebody"/>
              <w:jc w:val="center"/>
            </w:pPr>
            <m:oMath>
              <m:r>
                <m:rPr>
                  <m:sty m:val="p"/>
                </m:rPr>
                <m:t>+</m:t>
              </m:r>
              <m:r>
                <m:t>1.37</m:t>
              </m:r>
              <m:r>
                <m:rPr>
                  <m:sty m:val="p"/>
                </m:rPr>
                <m:t>±</m:t>
              </m:r>
              <m:r>
                <m:t>2.89</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3615</w:t>
            </w:r>
          </w:p>
        </w:tc>
      </w:tr>
      <w:tr>
        <w:trPr>
          <w:cantSplit/>
        </w:trPr>
        <w:tc>
          <w:tcPr>
            <w:vAlign w:val="center"/>
          </w:tcPr>
          <w:p>
            <w:pPr>
              <w:pStyle w:val="MDPI42tablebody"/>
              <w:jc w:val="center"/>
            </w:pPr>
            <w:r>
              <w:rPr>
                <w:rStyle w:val="VerbatimChar"/>
              </w:rPr>
              <w:t xml:space="preserve">ppo</w:t>
            </w:r>
          </w:p>
        </w:tc>
        <w:tc>
          <w:tcPr>
            <w:vAlign w:val="center"/>
          </w:tcPr>
          <w:p>
            <w:pPr>
              <w:pStyle w:val="MDPI42tablebody"/>
              <w:jc w:val="center"/>
            </w:pPr>
            <w:r>
              <w:t xml:space="preserve">—</w:t>
            </w:r>
          </w:p>
        </w:tc>
        <w:tc>
          <w:tcPr>
            <w:vAlign w:val="center"/>
          </w:tcPr>
          <w:p>
            <w:pPr>
              <w:pStyle w:val="MDPI42tablebody"/>
              <w:jc w:val="center"/>
            </w:pPr>
            <m:oMath>
              <m:r>
                <m:t>3.36</m:t>
              </m:r>
              <m:r>
                <m:rPr>
                  <m:sty m:val="p"/>
                </m:rPr>
                <m:t>±</m:t>
              </m:r>
              <m:r>
                <m:t>1.59</m:t>
              </m:r>
            </m:oMath>
            <w:r>
              <w:t xml:space="preserve">​</w:t>
            </w:r>
          </w:p>
        </w:tc>
        <w:tc>
          <w:tcPr>
            <w:vAlign w:val="center"/>
          </w:tcPr>
          <w:p>
            <w:pPr>
              <w:pStyle w:val="MDPI42tablebody"/>
              <w:jc w:val="center"/>
            </w:pPr>
            <m:oMath>
              <m:r>
                <m:rPr>
                  <m:sty m:val="p"/>
                </m:rPr>
                <m:t>−</m:t>
              </m:r>
              <m:r>
                <m:t>2.10</m:t>
              </m:r>
              <m:r>
                <m:rPr>
                  <m:sty m:val="p"/>
                </m:rPr>
                <m:t>±</m:t>
              </m:r>
              <m:r>
                <m:t>1.03</m:t>
              </m:r>
            </m:oMath>
            <w:r>
              <w:t xml:space="preserve">​</w:t>
            </w:r>
          </w:p>
        </w:tc>
        <w:tc>
          <w:tcPr>
            <w:vAlign w:val="center"/>
          </w:tcPr>
          <w:p>
            <w:pPr>
              <w:pStyle w:val="MDPI42tablebody"/>
              <w:jc w:val="center"/>
            </w:pPr>
            <m:oMath>
              <m:r>
                <m:t>1.72</m:t>
              </m:r>
              <m:r>
                <m:rPr>
                  <m:sty m:val="p"/>
                </m:rPr>
                <m:t>±</m:t>
              </m:r>
              <m:r>
                <m:t>1.19</m:t>
              </m:r>
            </m:oMath>
            <w:r>
              <w:t xml:space="preserve">​</w:t>
            </w:r>
          </w:p>
        </w:tc>
        <w:tc>
          <w:tcPr>
            <w:vAlign w:val="center"/>
          </w:tcPr>
          <w:p>
            <w:pPr>
              <w:pStyle w:val="MDPI42tablebody"/>
              <w:jc w:val="center"/>
            </w:pPr>
            <m:oMath>
              <m:r>
                <m:rPr>
                  <m:sty m:val="p"/>
                </m:rPr>
                <m:t>−</m:t>
              </m:r>
              <m:r>
                <m:t>1.17</m:t>
              </m:r>
              <m:r>
                <m:rPr>
                  <m:sty m:val="p"/>
                </m:rPr>
                <m:t>±</m:t>
              </m:r>
              <m:r>
                <m:t>3.40</m:t>
              </m:r>
            </m:oMath>
            <w:r>
              <w:t xml:space="preserve">​</w:t>
            </w:r>
          </w:p>
        </w:tc>
        <w:tc>
          <w:tcPr>
            <w:vAlign w:val="center"/>
          </w:tcPr>
          <w:p>
            <w:pPr>
              <w:pStyle w:val="MDPI42tablebody"/>
              <w:jc w:val="center"/>
            </w:pPr>
            <m:oMath>
              <m:r>
                <m:rPr>
                  <m:sty m:val="p"/>
                </m:rPr>
                <m:t>+</m:t>
              </m:r>
              <m:r>
                <m:t>0.45</m:t>
              </m:r>
              <m:r>
                <m:rPr>
                  <m:sty m:val="p"/>
                </m:rPr>
                <m:t>±</m:t>
              </m:r>
              <m:r>
                <m:t>2.97</m:t>
              </m:r>
            </m:oMath>
            <w:r>
              <w:t xml:space="preserve">​</w:t>
            </w:r>
          </w:p>
        </w:tc>
        <w:tc>
          <w:tcPr>
            <w:vAlign w:val="center"/>
          </w:tcPr>
          <w:p>
            <w:pPr>
              <w:pStyle w:val="MDPI42tablebody"/>
              <w:jc w:val="center"/>
            </w:pPr>
            <w:r>
              <w:t xml:space="preserve">80</w:t>
            </w:r>
          </w:p>
        </w:tc>
        <w:tc>
          <w:tcPr>
            <w:vAlign w:val="center"/>
          </w:tcPr>
          <w:p>
            <w:pPr>
              <w:pStyle w:val="MDPI42tablebody"/>
              <w:jc w:val="center"/>
            </w:pPr>
            <w:r>
              <w:rPr>
                <w:b/>
                <w:bCs/>
              </w:rPr>
              <w:t xml:space="preserve">1330</w:t>
            </w:r>
          </w:p>
        </w:tc>
      </w:tr>
      <w:tr>
        <w:trPr>
          <w:cantSplit/>
        </w:trPr>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p_nc</w:t>
            </w:r>
          </w:p>
        </w:tc>
        <w:tc>
          <w:tcPr>
            <w:vAlign w:val="center"/>
          </w:tcPr>
          <w:p>
            <w:pPr>
              <w:pStyle w:val="MDPI42tablebody"/>
              <w:jc w:val="center"/>
            </w:pPr>
            <m:oMath>
              <m:r>
                <m:t>3.88</m:t>
              </m:r>
              <m:r>
                <m:rPr>
                  <m:sty m:val="p"/>
                </m:rPr>
                <m:t>±</m:t>
              </m:r>
              <m:r>
                <m:t>4.23</m:t>
              </m:r>
            </m:oMath>
            <w:r>
              <w:t xml:space="preserve">​</w:t>
            </w:r>
          </w:p>
        </w:tc>
        <w:tc>
          <w:tcPr>
            <w:vAlign w:val="center"/>
          </w:tcPr>
          <w:p>
            <w:pPr>
              <w:pStyle w:val="MDPI42tablebody"/>
              <w:jc w:val="center"/>
            </w:pPr>
            <m:oMath>
              <m:r>
                <m:rPr>
                  <m:sty m:val="p"/>
                </m:rPr>
                <m:t>−</m:t>
              </m:r>
              <m:r>
                <m:t>3.16</m:t>
              </m:r>
              <m:r>
                <m:rPr>
                  <m:sty m:val="p"/>
                </m:rPr>
                <m:t>±</m:t>
              </m:r>
              <m:r>
                <m:t>1.34</m:t>
              </m:r>
            </m:oMath>
            <w:r>
              <w:t xml:space="preserve">​</w:t>
            </w:r>
          </w:p>
        </w:tc>
        <w:tc>
          <w:tcPr>
            <w:vAlign w:val="center"/>
          </w:tcPr>
          <w:p>
            <w:pPr>
              <w:pStyle w:val="MDPI42tablebody"/>
              <w:jc w:val="center"/>
            </w:pPr>
            <m:oMath>
              <m:r>
                <m:rPr>
                  <m:sty m:val="p"/>
                </m:rPr>
                <m:t>−</m:t>
              </m:r>
              <m:r>
                <m:t>0.31</m:t>
              </m:r>
              <m:r>
                <m:rPr>
                  <m:sty m:val="p"/>
                </m:rPr>
                <m:t>±</m:t>
              </m:r>
              <m:r>
                <m:t>3.42</m:t>
              </m:r>
            </m:oMath>
            <w:r>
              <w:t xml:space="preserve">​</w:t>
            </w:r>
          </w:p>
        </w:tc>
        <w:tc>
          <w:tcPr>
            <w:vAlign w:val="center"/>
          </w:tcPr>
          <w:p>
            <w:pPr>
              <w:pStyle w:val="MDPI42tablebody"/>
              <w:jc w:val="center"/>
            </w:pPr>
            <m:oMath>
              <m:r>
                <m:t>0.72</m:t>
              </m:r>
              <m:r>
                <m:rPr>
                  <m:sty m:val="p"/>
                </m:rPr>
                <m:t>±</m:t>
              </m:r>
              <m:r>
                <m:t>3.46</m:t>
              </m:r>
            </m:oMath>
            <w:r>
              <w:t xml:space="preserve">​</w:t>
            </w:r>
          </w:p>
        </w:tc>
        <w:tc>
          <w:tcPr>
            <w:vAlign w:val="center"/>
          </w:tcPr>
          <w:p>
            <w:pPr>
              <w:pStyle w:val="MDPI42tablebody"/>
              <w:jc w:val="center"/>
            </w:pPr>
            <m:oMath>
              <m:r>
                <m:rPr>
                  <m:sty m:val="p"/>
                </m:rPr>
                <m:t>+</m:t>
              </m:r>
              <m:r>
                <m:t>0.28</m:t>
              </m:r>
              <m:r>
                <m:rPr>
                  <m:sty m:val="p"/>
                </m:rPr>
                <m:t>±</m:t>
              </m:r>
              <m:r>
                <m:t>4.11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4755</w:t>
            </w:r>
          </w:p>
        </w:tc>
      </w:tr>
      <w:tr>
        <w:trPr>
          <w:cantSplit/>
        </w:trP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w:r>
              <w:t xml:space="preserve">—</w:t>
            </w:r>
          </w:p>
        </w:tc>
        <w:tc>
          <w:tcPr>
            <w:vAlign w:val="center"/>
          </w:tcPr>
          <w:p>
            <w:pPr>
              <w:pStyle w:val="MDPI42tablebody"/>
              <w:jc w:val="center"/>
            </w:pPr>
            <m:oMath>
              <m:r>
                <m:t>4.63</m:t>
              </m:r>
              <m:r>
                <m:rPr>
                  <m:sty m:val="p"/>
                </m:rPr>
                <m:t>±</m:t>
              </m:r>
              <m:r>
                <m:t>0.00</m:t>
              </m:r>
            </m:oMath>
            <w:r>
              <w:t xml:space="preserve">​</w:t>
            </w:r>
          </w:p>
        </w:tc>
        <w:tc>
          <w:tcPr>
            <w:vAlign w:val="center"/>
          </w:tcPr>
          <w:p>
            <w:pPr>
              <w:pStyle w:val="MDPI42tablebody"/>
              <w:jc w:val="center"/>
            </w:pPr>
            <m:oMath>
              <m:r>
                <m:rPr>
                  <m:sty m:val="p"/>
                </m:rPr>
                <m:t>−</m:t>
              </m:r>
              <m:r>
                <m:t>6.97</m:t>
              </m:r>
              <m:r>
                <m:rPr>
                  <m:sty m:val="p"/>
                </m:rPr>
                <m:t>±</m:t>
              </m:r>
              <m:r>
                <m:t>0.00</m:t>
              </m:r>
            </m:oMath>
            <w:r>
              <w:t xml:space="preserve">​</w:t>
            </w:r>
          </w:p>
        </w:tc>
        <w:tc>
          <w:tcPr>
            <w:vAlign w:val="center"/>
          </w:tcPr>
          <w:p>
            <w:pPr>
              <w:pStyle w:val="MDPI42tablebody"/>
              <w:jc w:val="center"/>
            </w:pPr>
            <m:oMath>
              <m:r>
                <m:t>1.33</m:t>
              </m:r>
              <m:r>
                <m:rPr>
                  <m:sty m:val="p"/>
                </m:rPr>
                <m:t>±</m:t>
              </m:r>
              <m:r>
                <m:t>0.00</m:t>
              </m:r>
            </m:oMath>
            <w:r>
              <w:t xml:space="preserve">​</w:t>
            </w:r>
          </w:p>
        </w:tc>
        <w:tc>
          <w:tcPr>
            <w:vAlign w:val="center"/>
          </w:tcPr>
          <w:p>
            <w:pPr>
              <w:pStyle w:val="MDPI42tablebody"/>
              <w:jc w:val="center"/>
            </w:pPr>
            <m:oMath>
              <m:r>
                <m:rPr>
                  <m:sty m:val="p"/>
                </m:rPr>
                <m:t>−</m:t>
              </m:r>
              <m:r>
                <m:t>3.81</m:t>
              </m:r>
              <m:r>
                <m:rPr>
                  <m:sty m:val="p"/>
                </m:rPr>
                <m:t>±</m:t>
              </m:r>
              <m:r>
                <m:t>0.00</m:t>
              </m:r>
            </m:oMath>
            <w:r>
              <w:t xml:space="preserve">​</w:t>
            </w:r>
          </w:p>
        </w:tc>
        <w:tc>
          <w:tcPr>
            <w:vAlign w:val="center"/>
          </w:tcPr>
          <w:p>
            <w:pPr>
              <w:pStyle w:val="MDPI42tablebody"/>
              <w:jc w:val="center"/>
            </w:pPr>
            <m:oMath>
              <m:r>
                <m:rPr>
                  <m:sty m:val="p"/>
                </m:rPr>
                <m:t>−</m:t>
              </m:r>
              <m:r>
                <m:t>1.21</m:t>
              </m:r>
              <m:r>
                <m:rPr>
                  <m:sty m:val="p"/>
                </m:rPr>
                <m:t>±</m:t>
              </m:r>
              <m:r>
                <m:t>4.52</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2810</w:t>
            </w:r>
          </w:p>
        </w:tc>
      </w:tr>
      <w:tr>
        <w:trPr>
          <w:cantSplit/>
        </w:trPr>
        <w:tc>
          <w:tcPr>
            <w:vAlign w:val="center"/>
          </w:tcPr>
          <w:p>
            <w:pPr>
              <w:pStyle w:val="MDPI42tablebody"/>
              <w:jc w:val="center"/>
            </w:pPr>
            <w:r>
              <w:rPr>
                <w:rStyle w:val="VerbatimChar"/>
              </w:rPr>
              <w:t xml:space="preserve">oracle_mpc</w:t>
            </w:r>
          </w:p>
        </w:tc>
        <w:tc>
          <w:tcPr>
            <w:vAlign w:val="center"/>
          </w:tcPr>
          <w:p>
            <w:pPr>
              <w:pStyle w:val="MDPI42tablebody"/>
              <w:jc w:val="center"/>
            </w:pPr>
            <w:r>
              <w:t xml:space="preserve">—</w:t>
            </w:r>
          </w:p>
        </w:tc>
        <w:tc>
          <w:tcPr>
            <w:vAlign w:val="center"/>
          </w:tcPr>
          <w:p>
            <w:pPr>
              <w:pStyle w:val="MDPI42tablebody"/>
              <w:jc w:val="center"/>
            </w:pPr>
            <m:oMath>
              <m:r>
                <m:t>2.77</m:t>
              </m:r>
              <m:r>
                <m:rPr>
                  <m:sty m:val="p"/>
                </m:rPr>
                <m:t>±</m:t>
              </m:r>
              <m:r>
                <m:t>0.08</m:t>
              </m:r>
            </m:oMath>
            <w:r>
              <w:t xml:space="preserve">​</w:t>
            </w:r>
          </w:p>
        </w:tc>
        <w:tc>
          <w:tcPr>
            <w:vAlign w:val="center"/>
          </w:tcPr>
          <w:p>
            <w:pPr>
              <w:pStyle w:val="MDPI42tablebody"/>
              <w:jc w:val="center"/>
            </w:pPr>
            <m:oMath>
              <m:r>
                <m:rPr>
                  <m:sty m:val="p"/>
                </m:rPr>
                <m:t>−</m:t>
              </m:r>
              <m:r>
                <m:t>6.76</m:t>
              </m:r>
              <m:r>
                <m:rPr>
                  <m:sty m:val="p"/>
                </m:rPr>
                <m:t>±</m:t>
              </m:r>
              <m:r>
                <m:t>0.09</m:t>
              </m:r>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3.95</m:t>
              </m:r>
              <m:r>
                <m:rPr>
                  <m:sty m:val="p"/>
                </m:rPr>
                <m:t>±</m:t>
              </m:r>
              <m:r>
                <m:t>0.06</m:t>
              </m:r>
            </m:oMath>
            <w:r>
              <w:t xml:space="preserve">​</w:t>
            </w:r>
          </w:p>
        </w:tc>
        <w:tc>
          <w:tcPr>
            <w:vAlign w:val="center"/>
          </w:tcPr>
          <w:p>
            <w:pPr>
              <w:pStyle w:val="MDPI42tablebody"/>
              <w:jc w:val="center"/>
            </w:pPr>
            <m:oMath>
              <m:r>
                <m:rPr>
                  <m:sty m:val="p"/>
                </m:rPr>
                <m:t>−</m:t>
              </m:r>
              <m:r>
                <m:t>2.65</m:t>
              </m:r>
              <m:r>
                <m:rPr>
                  <m:sty m:val="p"/>
                </m:rPr>
                <m:t>±</m:t>
              </m:r>
              <m:r>
                <m:t>4.03</m:t>
              </m:r>
            </m:oMath>
            <w:r>
              <w:t xml:space="preserve">​</w:t>
            </w:r>
          </w:p>
        </w:tc>
        <w:tc>
          <w:tcPr>
            <w:vAlign w:val="center"/>
          </w:tcPr>
          <w:p>
            <w:pPr>
              <w:pStyle w:val="MDPI42tablebody"/>
              <w:jc w:val="center"/>
            </w:pPr>
            <w:r>
              <w:t xml:space="preserve">60</w:t>
            </w:r>
          </w:p>
        </w:tc>
        <w:tc>
          <w:tcPr>
            <w:vAlign w:val="center"/>
          </w:tcPr>
          <w:p>
            <w:pPr>
              <w:pStyle w:val="MDPI42tablebody"/>
              <w:jc w:val="center"/>
            </w:pPr>
            <w:r>
              <w:t xml:space="preserve">3321</w:t>
            </w:r>
          </w:p>
        </w:tc>
      </w:tr>
      <w:tr>
        <w:trPr>
          <w:cantSplit/>
        </w:trPr>
        <w:tc>
          <w:tcPr>
            <w:vAlign w:val="center"/>
          </w:tcPr>
          <w:p>
            <w:pPr>
              <w:pStyle w:val="MDPI42tablebody"/>
              <w:jc w:val="center"/>
            </w:pPr>
            <w:r>
              <w:rPr>
                <w:rStyle w:val="VerbatimChar"/>
              </w:rPr>
              <w:t xml:space="preserve">nn_mpc</w:t>
            </w:r>
          </w:p>
        </w:tc>
        <w:tc>
          <w:tcPr>
            <w:vAlign w:val="center"/>
          </w:tcPr>
          <w:p>
            <w:pPr>
              <w:pStyle w:val="MDPI42tablebody"/>
              <w:jc w:val="center"/>
            </w:pPr>
            <w:r>
              <w:t xml:space="preserve">phys</w:t>
            </w:r>
            <m:oMath>
              <m:sSup>
                <m:e>
                  <m:r>
                    <m:t>​</m:t>
                  </m:r>
                </m:e>
                <m:sup>
                  <m:r>
                    <m:rPr>
                      <m:sty m:val="p"/>
                    </m:rPr>
                    <m:t>*</m:t>
                  </m:r>
                </m:sup>
              </m:sSup>
            </m:oMath>
          </w:p>
        </w:tc>
        <w:tc>
          <w:tcPr>
            <w:vAlign w:val="center"/>
          </w:tcPr>
          <w:p>
            <w:pPr>
              <w:pStyle w:val="MDPI42tablebody"/>
              <w:jc w:val="center"/>
            </w:pPr>
            <m:oMath>
              <m:r>
                <m:rPr>
                  <m:sty m:val="p"/>
                </m:rPr>
                <m:t>−</m:t>
              </m:r>
              <m:r>
                <m:t>1.78</m:t>
              </m:r>
              <m:r>
                <m:rPr>
                  <m:sty m:val="p"/>
                </m:rPr>
                <m:t>±</m:t>
              </m:r>
              <m:r>
                <m:t>1.95</m:t>
              </m:r>
            </m:oMath>
            <w:r>
              <w:t xml:space="preserve">​</w:t>
            </w:r>
          </w:p>
        </w:tc>
        <w:tc>
          <w:tcPr>
            <w:vAlign w:val="center"/>
          </w:tcPr>
          <w:p>
            <w:pPr>
              <w:pStyle w:val="MDPI42tablebody"/>
              <w:jc w:val="center"/>
            </w:pPr>
            <m:oMath>
              <m:r>
                <m:rPr>
                  <m:sty m:val="p"/>
                </m:rPr>
                <m:t>−</m:t>
              </m:r>
              <m:r>
                <m:t>5.94</m:t>
              </m:r>
              <m:r>
                <m:rPr>
                  <m:sty m:val="p"/>
                </m:rPr>
                <m:t>±</m:t>
              </m:r>
              <m:r>
                <m:t>1.99</m:t>
              </m:r>
            </m:oMath>
            <w:r>
              <w:t xml:space="preserve">​</w:t>
            </w:r>
          </w:p>
        </w:tc>
        <w:tc>
          <w:tcPr>
            <w:vAlign w:val="center"/>
          </w:tcPr>
          <w:p>
            <w:pPr>
              <w:pStyle w:val="MDPI42tablebody"/>
              <w:jc w:val="center"/>
            </w:pPr>
            <m:oMath>
              <m:r>
                <m:rPr>
                  <m:sty m:val="p"/>
                </m:rPr>
                <m:t>−</m:t>
              </m:r>
              <m:r>
                <m:t>4.63</m:t>
              </m:r>
              <m:r>
                <m:rPr>
                  <m:sty m:val="p"/>
                </m:rPr>
                <m:t>±</m:t>
              </m:r>
              <m:r>
                <m:t>1.82</m:t>
              </m:r>
            </m:oMath>
            <w:r>
              <w:t xml:space="preserve">​</w:t>
            </w:r>
          </w:p>
        </w:tc>
        <w:tc>
          <w:tcPr>
            <w:vAlign w:val="center"/>
          </w:tcPr>
          <w:p>
            <w:pPr>
              <w:pStyle w:val="MDPI42tablebody"/>
              <w:jc w:val="center"/>
            </w:pPr>
            <m:oMath>
              <m:r>
                <m:rPr>
                  <m:sty m:val="p"/>
                </m:rPr>
                <m:t>−</m:t>
              </m:r>
              <m:r>
                <m:t>2.93</m:t>
              </m:r>
              <m:r>
                <m:rPr>
                  <m:sty m:val="p"/>
                </m:rPr>
                <m:t>±</m:t>
              </m:r>
              <m:r>
                <m:t>1.73</m:t>
              </m:r>
            </m:oMath>
            <w:r>
              <w:t xml:space="preserve">​</w:t>
            </w:r>
          </w:p>
        </w:tc>
        <w:tc>
          <w:tcPr>
            <w:vAlign w:val="center"/>
          </w:tcPr>
          <w:p>
            <w:pPr>
              <w:pStyle w:val="MDPI42tablebody"/>
              <w:jc w:val="center"/>
            </w:pPr>
            <m:oMath>
              <m:r>
                <m:rPr>
                  <m:sty m:val="p"/>
                </m:rPr>
                <m:t>−</m:t>
              </m:r>
              <m:r>
                <m:t>3.82</m:t>
              </m:r>
              <m:r>
                <m:rPr>
                  <m:sty m:val="p"/>
                </m:rPr>
                <m:t>±</m:t>
              </m:r>
              <m:r>
                <m:t>2.42</m:t>
              </m:r>
            </m:oMath>
            <w:r>
              <w:t xml:space="preserve">​</w:t>
            </w:r>
          </w:p>
        </w:tc>
        <w:tc>
          <w:tcPr>
            <w:vAlign w:val="center"/>
          </w:tcPr>
          <w:p>
            <w:pPr>
              <w:pStyle w:val="MDPI42tablebody"/>
              <w:jc w:val="center"/>
            </w:pPr>
            <w:r>
              <w:t xml:space="preserve">40</w:t>
            </w:r>
          </w:p>
        </w:tc>
        <w:tc>
          <w:tcPr>
            <w:vAlign w:val="center"/>
          </w:tcPr>
          <w:p>
            <w:pPr>
              <w:pStyle w:val="MDPI42tablebody"/>
              <w:jc w:val="center"/>
            </w:pPr>
            <w:r>
              <w:t xml:space="preserve">2818</w:t>
            </w:r>
          </w:p>
        </w:tc>
      </w:tr>
      <w:tr>
        <w:trPr>
          <w:cantSplit/>
        </w:trPr>
        <w:tc>
          <w:tcPr>
            <w:vAlign w:val="center"/>
          </w:tcPr>
          <w:p>
            <w:pPr>
              <w:pStyle w:val="MDPI42tablebody"/>
              <w:jc w:val="center"/>
            </w:pPr>
            <w:r>
              <w:rPr>
                <w:rStyle w:val="VerbatimChar"/>
              </w:rPr>
              <w:t xml:space="preserve">sac</w:t>
            </w:r>
          </w:p>
        </w:tc>
        <w:tc>
          <w:tcPr>
            <w:vAlign w:val="center"/>
          </w:tcPr>
          <w:p>
            <w:pPr>
              <w:pStyle w:val="MDPI42tablebody"/>
              <w:jc w:val="center"/>
            </w:pPr>
            <w:r>
              <w:t xml:space="preserve">—</w:t>
            </w:r>
          </w:p>
        </w:tc>
        <w:tc>
          <w:tcPr>
            <w:vAlign w:val="center"/>
          </w:tcPr>
          <w:p>
            <w:pPr>
              <w:pStyle w:val="MDPI42tablebody"/>
              <w:jc w:val="center"/>
            </w:pPr>
            <m:oMath>
              <m:r>
                <m:rPr>
                  <m:sty m:val="p"/>
                </m:rPr>
                <m:t>−</m:t>
              </m:r>
              <m:r>
                <m:t>2.43</m:t>
              </m:r>
              <m:r>
                <m:rPr>
                  <m:sty m:val="p"/>
                </m:rPr>
                <m:t>±</m:t>
              </m:r>
              <m:r>
                <m:t>1.33</m:t>
              </m:r>
            </m:oMath>
            <w:r>
              <w:t xml:space="preserve">​</w:t>
            </w:r>
          </w:p>
        </w:tc>
        <w:tc>
          <w:tcPr>
            <w:vAlign w:val="center"/>
          </w:tcPr>
          <w:p>
            <w:pPr>
              <w:pStyle w:val="MDPI42tablebody"/>
              <w:jc w:val="center"/>
            </w:pPr>
            <m:oMath>
              <m:r>
                <m:rPr>
                  <m:sty m:val="p"/>
                </m:rPr>
                <m:t>−</m:t>
              </m:r>
              <m:r>
                <m:t>6.13</m:t>
              </m:r>
              <m:r>
                <m:rPr>
                  <m:sty m:val="p"/>
                </m:rPr>
                <m:t>±</m:t>
              </m:r>
              <m:r>
                <m:t>1.47</m:t>
              </m:r>
            </m:oMath>
            <w:r>
              <w:t xml:space="preserve">​</w:t>
            </w:r>
          </w:p>
        </w:tc>
        <w:tc>
          <w:tcPr>
            <w:vAlign w:val="center"/>
          </w:tcPr>
          <w:p>
            <w:pPr>
              <w:pStyle w:val="MDPI42tablebody"/>
              <w:jc w:val="center"/>
            </w:pPr>
            <m:oMath>
              <m:r>
                <m:rPr>
                  <m:sty m:val="p"/>
                </m:rPr>
                <m:t>−</m:t>
              </m:r>
              <m:r>
                <m:t>2.99</m:t>
              </m:r>
              <m:r>
                <m:rPr>
                  <m:sty m:val="p"/>
                </m:rPr>
                <m:t>±</m:t>
              </m:r>
              <m:r>
                <m:t>1.61</m:t>
              </m:r>
            </m:oMath>
            <w:r>
              <w:t xml:space="preserve">​</w:t>
            </w:r>
          </w:p>
        </w:tc>
        <w:tc>
          <w:tcPr>
            <w:vAlign w:val="center"/>
          </w:tcPr>
          <w:p>
            <w:pPr>
              <w:pStyle w:val="MDPI42tablebody"/>
              <w:jc w:val="center"/>
            </w:pPr>
            <m:oMath>
              <m:r>
                <m:rPr>
                  <m:sty m:val="p"/>
                </m:rPr>
                <m:t>−</m:t>
              </m:r>
              <m:r>
                <m:t>5.05</m:t>
              </m:r>
              <m:r>
                <m:rPr>
                  <m:sty m:val="p"/>
                </m:rPr>
                <m:t>±</m:t>
              </m:r>
              <m:r>
                <m:t>1.20</m:t>
              </m:r>
            </m:oMath>
            <w:r>
              <w:t xml:space="preserve">​</w:t>
            </w:r>
          </w:p>
        </w:tc>
        <w:tc>
          <w:tcPr>
            <w:vAlign w:val="center"/>
          </w:tcPr>
          <w:p>
            <w:pPr>
              <w:pStyle w:val="MDPI42tablebody"/>
              <w:jc w:val="center"/>
            </w:pPr>
            <m:oMath>
              <m:r>
                <m:rPr>
                  <m:sty m:val="p"/>
                </m:rPr>
                <m:t>−</m:t>
              </m:r>
              <m:r>
                <m:t>4.15</m:t>
              </m:r>
              <m:r>
                <m:rPr>
                  <m:sty m:val="p"/>
                </m:rPr>
                <m:t>±</m:t>
              </m:r>
              <m:r>
                <m:t>2.05</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1689</w:t>
            </w:r>
          </w:p>
        </w:tc>
      </w:tr>
    </w:tbl>
    <w:bookmarkEnd w:id="48"/>
    <w:p>
      <w:pPr>
        <w:pStyle w:val="MDPI31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9" w:name="tab:wilcoxon"/>
    <w:p>
      <w:pPr>
        <w:pStyle w:val="MDPI41tablecaption"/>
        <w:keepNext/>
      </w:pPr>
      <w:r>
        <w:rPr>
          <w:b/>
        </w:rPr>
        <w:t xml:space="preserve">Table 7. </w:t>
      </w: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[30] with Holm correction [31]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MDPI41threelinetable"/>
        <w:tblW w:type="dxa" w:w="7920"/>
        <w:tblLook w:firstRow="1" w:lastRow="0" w:firstColumn="0" w:lastColumn="0" w:noHBand="0" w:noVBand="0" w:val="0020"/>
        <w:tblCaption w:val="Paired comparison against the tuned rule-based reference (priced objective). \Delta = \text{controller} - \text{tuned} in EUR m^{-2}; Wilcoxon signed-rank [30] with Holm correction [31]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584"/>
        <w:gridCol w:w="1584"/>
        <w:gridCol w:w="1584"/>
        <w:gridCol w:w="1584"/>
        <w:gridCol w:w="1584"/>
      </w:tblGrid>
      <w:tr>
        <w:trPr>
          <w:tblHeader w:val="on"/>
          <w:cantSplit/>
        </w:trPr>
        <w:tc>
          <w:tcPr>
            <w:vAlign w:val="center"/>
            <w:tcBorders>
              <w:bottom w:val="single" w:sz="8" w:space="0" w:color="000000"/>
            </w:tcBorders>
          </w:tcPr>
          <w:p>
            <w:pPr>
              <w:pStyle w:val="MDPI42tablebody"/>
              <w:jc w:val="center"/>
            </w:pPr>
            <w:r>
              <w:rPr>
                <w:b/>
              </w:rPr>
              <w:t xml:space="preserve">Controller</w:t>
            </w:r>
          </w:p>
        </w:tc>
        <w:tc>
          <w:tcPr>
            <w:vAlign w:val="center"/>
            <w:tcBorders>
              <w:bottom w:val="single" w:sz="8" w:space="0" w:color="000000"/>
            </w:tcBorders>
          </w:tcPr>
          <w:p>
            <w:pPr>
              <w:pStyle w:val="MDPI42tablebody"/>
              <w:jc w:val="center"/>
            </w:pPr>
            <m:oMath>
              <m:r>
                <m:rPr>
                  <m:sty m:val="p"/>
                </m:rPr>
                <m:t>Δ</m:t>
              </m:r>
            </m:oMath>
            <w:r>
              <w:rPr>
                <w:b/>
              </w:rPr>
              <w:t xml:space="preserve"> </w:t>
            </w:r>
            <w:r>
              <w:rPr>
                <w:b/>
              </w:rPr>
              <w:t xml:space="preserve">mean</w:t>
            </w:r>
          </w:p>
        </w:tc>
        <w:tc>
          <w:tcPr>
            <w:vAlign w:val="center"/>
            <w:tcBorders>
              <w:bottom w:val="single" w:sz="8" w:space="0" w:color="000000"/>
            </w:tcBorders>
          </w:tcPr>
          <w:p>
            <w:pPr>
              <w:pStyle w:val="MDPI42tablebody"/>
              <w:jc w:val="center"/>
            </w:pPr>
            <m:oMath>
              <m:r>
                <m:rPr>
                  <m:sty m:val="p"/>
                </m:rPr>
                <m:t>Δ</m:t>
              </m:r>
            </m:oMath>
            <w:r>
              <w:rPr>
                <w:b/>
              </w:rPr>
              <w:t xml:space="preserve"> </w:t>
            </w:r>
            <w:r>
              <w:rPr>
                <w:b/>
              </w:rPr>
              <w:t xml:space="preserve">median</w:t>
            </w:r>
          </w:p>
        </w:tc>
        <w:tc>
          <w:tcPr>
            <w:vAlign w:val="center"/>
            <w:tcBorders>
              <w:bottom w:val="single" w:sz="8" w:space="0" w:color="000000"/>
            </w:tcBorders>
          </w:tcPr>
          <w:p>
            <w:pPr>
              <w:pStyle w:val="MDPI42tablebody"/>
              <w:jc w:val="center"/>
            </w:pPr>
            <w:r>
              <w:rPr>
                <w:b/>
              </w:rPr>
              <w:t xml:space="preserve">Wins/</w:t>
            </w:r>
            <m:oMath>
              <m:r>
                <m:t>n</m:t>
              </m:r>
            </m:oMath>
          </w:p>
        </w:tc>
        <w:tc>
          <w:tcPr>
            <w:vAlign w:val="center"/>
            <w:tcBorders>
              <w:bottom w:val="single" w:sz="8" w:space="0" w:color="000000"/>
            </w:tcBorders>
          </w:tcPr>
          <w:p>
            <w:pPr>
              <w:pStyle w:val="MDPI42tablebody"/>
              <w:jc w:val="center"/>
            </w:pPr>
            <m:oMath>
              <m:sSub>
                <m:e>
                  <m:r>
                    <m:t>p</m:t>
                  </m:r>
                </m:e>
                <m:sub>
                  <m:r>
                    <m:rPr>
                      <m:sty m:val="p"/>
                    </m:rPr>
                    <m:t>Holm</m:t>
                  </m:r>
                </m:sub>
              </m:sSub>
            </m:oMath>
            <w:r>
              <w:rPr>
                <w:b/>
              </w:rPr>
              <w:t xml:space="preserve">​</w:t>
            </w:r>
          </w:p>
        </w:tc>
      </w:tr>
      <w:tr>
        <w:trPr>
          <w:cantSplit/>
        </w:trPr>
        <w:tc>
          <w:tcPr>
            <w:vAlign w:val="center"/>
          </w:tcPr>
          <w:p>
            <w:pPr>
              <w:pStyle w:val="MDPI42tablebody"/>
              <w:jc w:val="center"/>
            </w:pPr>
            <w:r>
              <w:rPr>
                <w:rStyle w:val="VerbatimChar"/>
              </w:rPr>
              <w:t xml:space="preserve">sindy_mpc_raw_ens</w:t>
            </w:r>
          </w:p>
        </w:tc>
        <w:tc>
          <w:tcPr>
            <w:vAlign w:val="center"/>
          </w:tcPr>
          <w:p>
            <w:pPr>
              <w:pStyle w:val="MDPI42tablebody"/>
              <w:jc w:val="center"/>
            </w:pPr>
            <m:oMath>
              <m:r>
                <m:rPr>
                  <m:sty m:val="p"/>
                </m:rPr>
                <m:t>+</m:t>
              </m:r>
              <m:r>
                <m:t>2.06</m:t>
              </m:r>
            </m:oMath>
            <w:r>
              <w:t xml:space="preserve">​</w:t>
            </w:r>
          </w:p>
        </w:tc>
        <w:tc>
          <w:tcPr>
            <w:vAlign w:val="center"/>
          </w:tcPr>
          <w:p>
            <w:pPr>
              <w:pStyle w:val="MDPI42tablebody"/>
              <w:jc w:val="center"/>
            </w:pPr>
            <m:oMath>
              <m:r>
                <m:rPr>
                  <m:sty m:val="p"/>
                </m:rPr>
                <m:t>+</m:t>
              </m:r>
              <m:r>
                <m:t>2.85</m:t>
              </m:r>
            </m:oMath>
            <w:r>
              <w:t xml:space="preserve">​</w:t>
            </w:r>
          </w:p>
        </w:tc>
        <w:tc>
          <w:tcPr>
            <w:vAlign w:val="center"/>
          </w:tcPr>
          <w:p>
            <w:pPr>
              <w:pStyle w:val="MDPI42tablebody"/>
              <w:jc w:val="center"/>
            </w:pPr>
            <w:r>
              <w:t xml:space="preserve">75/80</w:t>
            </w:r>
          </w:p>
        </w:tc>
        <w:tc>
          <w:tcPr>
            <w:vAlign w:val="center"/>
          </w:tcPr>
          <w:p>
            <w:pPr>
              <w:pStyle w:val="MDPI42tablebody"/>
              <w:jc w:val="center"/>
            </w:pPr>
            <m:oMath>
              <m:r>
                <m:t>8.3</m:t>
              </m:r>
              <m:r>
                <m:rPr>
                  <m:sty m:val="p"/>
                </m:rPr>
                <m:t>×</m:t>
              </m:r>
              <m:sSup>
                <m:e>
                  <m:r>
                    <m:t>10</m:t>
                  </m:r>
                </m:e>
                <m:sup>
                  <m:r>
                    <m:rPr>
                      <m:sty m:val="p"/>
                    </m:rPr>
                    <m:t>−</m:t>
                  </m:r>
                  <m:r>
                    <m:t>11</m:t>
                  </m:r>
                </m:sup>
              </m:sSup>
            </m:oMath>
            <w:r>
              <w:t xml:space="preserve">​</w:t>
            </w:r>
          </w:p>
        </w:tc>
      </w:tr>
      <w:tr>
        <w:trPr>
          <w:cantSplit/>
        </w:trPr>
        <w:tc>
          <w:tcPr>
            <w:vAlign w:val="center"/>
          </w:tcPr>
          <w:p>
            <w:pPr>
              <w:pStyle w:val="MDPI42tablebody"/>
              <w:jc w:val="center"/>
            </w:pPr>
            <w:r>
              <w:rPr>
                <w:rStyle w:val="VerbatimChar"/>
              </w:rPr>
              <w:t xml:space="preserve">sindy_mpc_raw</w:t>
            </w:r>
          </w:p>
        </w:tc>
        <w:tc>
          <w:tcPr>
            <w:vAlign w:val="center"/>
          </w:tcPr>
          <w:p>
            <w:pPr>
              <w:pStyle w:val="MDPI42tablebody"/>
              <w:jc w:val="center"/>
            </w:pPr>
            <m:oMath>
              <m:r>
                <m:rPr>
                  <m:sty m:val="p"/>
                </m:rPr>
                <m:t>+</m:t>
              </m:r>
              <m:r>
                <m:t>1.57</m:t>
              </m:r>
            </m:oMath>
            <w:r>
              <w:t xml:space="preserve">​</w:t>
            </w:r>
          </w:p>
        </w:tc>
        <w:tc>
          <w:tcPr>
            <w:vAlign w:val="center"/>
          </w:tcPr>
          <w:p>
            <w:pPr>
              <w:pStyle w:val="MDPI42tablebody"/>
              <w:jc w:val="center"/>
            </w:pPr>
            <m:oMath>
              <m:r>
                <m:rPr>
                  <m:sty m:val="p"/>
                </m:rPr>
                <m:t>+</m:t>
              </m:r>
              <m:r>
                <m:t>2.83</m:t>
              </m:r>
            </m:oMath>
            <w:r>
              <w:t xml:space="preserve">​</w:t>
            </w:r>
          </w:p>
        </w:tc>
        <w:tc>
          <w:tcPr>
            <w:vAlign w:val="center"/>
          </w:tcPr>
          <w:p>
            <w:pPr>
              <w:pStyle w:val="MDPI42tablebody"/>
              <w:jc w:val="center"/>
            </w:pPr>
            <w:r>
              <w:t xml:space="preserve">68/80</w:t>
            </w:r>
          </w:p>
        </w:tc>
        <w:tc>
          <w:tcPr>
            <w:vAlign w:val="center"/>
          </w:tcPr>
          <w:p>
            <w:pPr>
              <w:pStyle w:val="MDPI42tablebody"/>
              <w:jc w:val="center"/>
            </w:pPr>
            <m:oMath>
              <m:r>
                <m:t>6.5</m:t>
              </m:r>
              <m:r>
                <m:rPr>
                  <m:sty m:val="p"/>
                </m:rPr>
                <m:t>×</m:t>
              </m:r>
              <m:sSup>
                <m:e>
                  <m:r>
                    <m:t>10</m:t>
                  </m:r>
                </m:e>
                <m:sup>
                  <m:r>
                    <m:rPr>
                      <m:sty m:val="p"/>
                    </m:rPr>
                    <m:t>−</m:t>
                  </m:r>
                  <m:r>
                    <m:t>7</m:t>
                  </m:r>
                </m:sup>
              </m:sSup>
            </m:oMath>
            <w:r>
              <w:t xml:space="preserve">​</w:t>
            </w:r>
          </w:p>
        </w:tc>
      </w:tr>
      <w:tr>
        <w:trPr>
          <w:cantSplit/>
        </w:trPr>
        <w:tc>
          <w:tcPr>
            <w:vAlign w:val="center"/>
          </w:tcPr>
          <w:p>
            <w:pPr>
              <w:pStyle w:val="MDPI42tablebody"/>
              <w:jc w:val="center"/>
            </w:pPr>
            <w:r>
              <w:rPr>
                <w:rStyle w:val="VerbatimChar"/>
              </w:rPr>
              <w:t xml:space="preserve">sindy_mpc_lowthr</w:t>
            </w:r>
          </w:p>
        </w:tc>
        <w:tc>
          <w:tcPr>
            <w:vAlign w:val="center"/>
          </w:tcPr>
          <w:p>
            <w:pPr>
              <w:pStyle w:val="MDPI42tablebody"/>
              <w:jc w:val="center"/>
            </w:pPr>
            <m:oMath>
              <m:r>
                <m:rPr>
                  <m:sty m:val="p"/>
                </m:rPr>
                <m:t>+</m:t>
              </m:r>
              <m:r>
                <m:t>0.83</m:t>
              </m:r>
            </m:oMath>
            <w:r>
              <w:t xml:space="preserve">​</w:t>
            </w:r>
          </w:p>
        </w:tc>
        <w:tc>
          <w:tcPr>
            <w:vAlign w:val="center"/>
          </w:tcPr>
          <w:p>
            <w:pPr>
              <w:pStyle w:val="MDPI42tablebody"/>
              <w:jc w:val="center"/>
            </w:pPr>
            <m:oMath>
              <m:r>
                <m:rPr>
                  <m:sty m:val="p"/>
                </m:rPr>
                <m:t>+</m:t>
              </m:r>
              <m:r>
                <m:t>0.74</m:t>
              </m:r>
            </m:oMath>
            <w:r>
              <w:t xml:space="preserve">​</w:t>
            </w:r>
          </w:p>
        </w:tc>
        <w:tc>
          <w:tcPr>
            <w:vAlign w:val="center"/>
          </w:tcPr>
          <w:p>
            <w:pPr>
              <w:pStyle w:val="MDPI42tablebody"/>
              <w:jc w:val="center"/>
            </w:pPr>
            <w:r>
              <w:t xml:space="preserve">51/80</w:t>
            </w:r>
          </w:p>
        </w:tc>
        <w:tc>
          <w:tcPr>
            <w:vAlign w:val="center"/>
          </w:tcPr>
          <w:p>
            <w:pPr>
              <w:pStyle w:val="MDPI42tablebody"/>
              <w:jc w:val="center"/>
            </w:pPr>
            <m:oMath>
              <m:r>
                <m:t>7.0</m:t>
              </m:r>
              <m:r>
                <m:rPr>
                  <m:sty m:val="p"/>
                </m:rPr>
                <m:t>×</m:t>
              </m:r>
              <m:sSup>
                <m:e>
                  <m:r>
                    <m:t>10</m:t>
                  </m:r>
                </m:e>
                <m:sup>
                  <m:r>
                    <m:rPr>
                      <m:sty m:val="p"/>
                    </m:rPr>
                    <m:t>−</m:t>
                  </m:r>
                  <m:r>
                    <m:t>4</m:t>
                  </m:r>
                </m:sup>
              </m:sSup>
            </m:oMath>
            <w:r>
              <w:t xml:space="preserve">​</w:t>
            </w:r>
          </w:p>
        </w:tc>
      </w:tr>
      <w:tr>
        <w:trPr>
          <w:cantSplit/>
        </w:trPr>
        <w:tc>
          <w:tcPr>
            <w:vAlign w:val="center"/>
          </w:tcPr>
          <w:p>
            <w:pPr>
              <w:pStyle w:val="MDPI42tablebody"/>
              <w:jc w:val="center"/>
            </w:pPr>
            <w:r>
              <w:rPr>
                <w:rStyle w:val="VerbatimChar"/>
              </w:rPr>
              <w:t xml:space="preserve">sindy_mpc_dense</w:t>
            </w:r>
          </w:p>
        </w:tc>
        <w:tc>
          <w:tcPr>
            <w:vAlign w:val="center"/>
          </w:tcPr>
          <w:p>
            <w:pPr>
              <w:pStyle w:val="MDPI42tablebody"/>
              <w:jc w:val="center"/>
            </w:pPr>
            <m:oMath>
              <m:r>
                <m:rPr>
                  <m:sty m:val="p"/>
                </m:rPr>
                <m:t>+</m:t>
              </m:r>
              <m:r>
                <m:t>0.82</m:t>
              </m:r>
            </m:oMath>
            <w:r>
              <w:t xml:space="preserve">​</w:t>
            </w:r>
          </w:p>
        </w:tc>
        <w:tc>
          <w:tcPr>
            <w:vAlign w:val="center"/>
          </w:tcPr>
          <w:p>
            <w:pPr>
              <w:pStyle w:val="MDPI42tablebody"/>
              <w:jc w:val="center"/>
            </w:pPr>
            <m:oMath>
              <m:r>
                <m:rPr>
                  <m:sty m:val="p"/>
                </m:rPr>
                <m:t>+</m:t>
              </m:r>
              <m:r>
                <m:t>0.69</m:t>
              </m:r>
            </m:oMath>
            <w:r>
              <w:t xml:space="preserve">​</w:t>
            </w:r>
          </w:p>
        </w:tc>
        <w:tc>
          <w:tcPr>
            <w:vAlign w:val="center"/>
          </w:tcPr>
          <w:p>
            <w:pPr>
              <w:pStyle w:val="MDPI42tablebody"/>
              <w:jc w:val="center"/>
            </w:pPr>
            <w:r>
              <w:t xml:space="preserve">51/80</w:t>
            </w:r>
          </w:p>
        </w:tc>
        <w:tc>
          <w:tcPr>
            <w:vAlign w:val="center"/>
          </w:tcPr>
          <w:p>
            <w:pPr>
              <w:pStyle w:val="MDPI42tablebody"/>
              <w:jc w:val="center"/>
            </w:pPr>
            <m:oMath>
              <m:r>
                <m:t>7.0</m:t>
              </m:r>
              <m:r>
                <m:rPr>
                  <m:sty m:val="p"/>
                </m:rPr>
                <m:t>×</m:t>
              </m:r>
              <m:sSup>
                <m:e>
                  <m:r>
                    <m:t>10</m:t>
                  </m:r>
                </m:e>
                <m:sup>
                  <m:r>
                    <m:rPr>
                      <m:sty m:val="p"/>
                    </m:rPr>
                    <m:t>−</m:t>
                  </m:r>
                  <m:r>
                    <m:t>4</m:t>
                  </m:r>
                </m:sup>
              </m:sSup>
            </m:oMath>
            <w:r>
              <w:t xml:space="preserve">​</w:t>
            </w:r>
          </w:p>
        </w:tc>
      </w:tr>
      <w:tr>
        <w:trPr>
          <w:cantSplit/>
        </w:trPr>
        <w:tc>
          <w:tcPr>
            <w:vAlign w:val="center"/>
          </w:tcPr>
          <w:p>
            <w:pPr>
              <w:pStyle w:val="MDPI42tablebody"/>
              <w:jc w:val="center"/>
            </w:pPr>
            <w:r>
              <w:rPr>
                <w:rStyle w:val="VerbatimChar"/>
              </w:rPr>
              <w:t xml:space="preserve">sindy_mpc_phys_ens</w:t>
            </w:r>
          </w:p>
        </w:tc>
        <w:tc>
          <w:tcPr>
            <w:vAlign w:val="center"/>
          </w:tcPr>
          <w:p>
            <w:pPr>
              <w:pStyle w:val="MDPI42tablebody"/>
              <w:jc w:val="center"/>
            </w:pPr>
            <m:oMath>
              <m:r>
                <m:rPr>
                  <m:sty m:val="p"/>
                </m:rPr>
                <m:t>+</m:t>
              </m:r>
              <m:r>
                <m:t>0.49</m:t>
              </m:r>
            </m:oMath>
            <w:r>
              <w:t xml:space="preserve">​</w:t>
            </w:r>
          </w:p>
        </w:tc>
        <w:tc>
          <w:tcPr>
            <w:vAlign w:val="center"/>
          </w:tcPr>
          <w:p>
            <w:pPr>
              <w:pStyle w:val="MDPI42tablebody"/>
              <w:jc w:val="center"/>
            </w:pPr>
            <m:oMath>
              <m:r>
                <m:rPr>
                  <m:sty m:val="p"/>
                </m:rPr>
                <m:t>+</m:t>
              </m:r>
              <m:r>
                <m:t>0.25</m:t>
              </m:r>
            </m:oMath>
            <w:r>
              <w:t xml:space="preserve">​</w:t>
            </w:r>
          </w:p>
        </w:tc>
        <w:tc>
          <w:tcPr>
            <w:vAlign w:val="center"/>
          </w:tcPr>
          <w:p>
            <w:pPr>
              <w:pStyle w:val="MDPI42tablebody"/>
              <w:jc w:val="center"/>
            </w:pPr>
            <w:r>
              <w:t xml:space="preserve">41/80</w:t>
            </w:r>
          </w:p>
        </w:tc>
        <w:tc>
          <w:tcPr>
            <w:vAlign w:val="center"/>
          </w:tcPr>
          <w:p>
            <w:pPr>
              <w:pStyle w:val="MDPI42tablebody"/>
              <w:jc w:val="center"/>
            </w:pPr>
            <m:oMath>
              <m:r>
                <m:t>0.176</m:t>
              </m:r>
            </m:oMath>
            <w:r>
              <w:t xml:space="preserve"> </w:t>
            </w:r>
            <w:r>
              <w:t xml:space="preserve">(n.s.)</w:t>
            </w:r>
          </w:p>
        </w:tc>
      </w:tr>
      <w:tr>
        <w:trPr>
          <w:cantSplit/>
        </w:trPr>
        <w:tc>
          <w:tcPr>
            <w:vAlign w:val="center"/>
          </w:tcPr>
          <w:p>
            <w:pPr>
              <w:pStyle w:val="MDPI42tablebody"/>
              <w:jc w:val="center"/>
            </w:pPr>
            <w:r>
              <w:rPr>
                <w:rStyle w:val="VerbatimChar"/>
              </w:rPr>
              <w:t xml:space="preserve">sindy_mpc_phys</w:t>
            </w:r>
          </w:p>
        </w:tc>
        <w:tc>
          <w:tcPr>
            <w:vAlign w:val="center"/>
          </w:tcPr>
          <w:p>
            <w:pPr>
              <w:pStyle w:val="MDPI42tablebody"/>
              <w:jc w:val="center"/>
            </w:pPr>
            <m:oMath>
              <m:r>
                <m:rPr>
                  <m:sty m:val="p"/>
                </m:rPr>
                <m:t>+</m:t>
              </m:r>
              <m:r>
                <m:t>0.21</m:t>
              </m:r>
            </m:oMath>
            <w:r>
              <w:t xml:space="preserve">​</w:t>
            </w:r>
          </w:p>
        </w:tc>
        <w:tc>
          <w:tcPr>
            <w:vAlign w:val="center"/>
          </w:tcPr>
          <w:p>
            <w:pPr>
              <w:pStyle w:val="MDPI42tablebody"/>
              <w:jc w:val="center"/>
            </w:pPr>
            <m:oMath>
              <m:r>
                <m:rPr>
                  <m:sty m:val="p"/>
                </m:rPr>
                <m:t>+</m:t>
              </m:r>
              <m:r>
                <m:t>0.29</m:t>
              </m:r>
            </m:oMath>
            <w:r>
              <w:t xml:space="preserve">​</w:t>
            </w:r>
          </w:p>
        </w:tc>
        <w:tc>
          <w:tcPr>
            <w:vAlign w:val="center"/>
          </w:tcPr>
          <w:p>
            <w:pPr>
              <w:pStyle w:val="MDPI42tablebody"/>
              <w:jc w:val="center"/>
            </w:pPr>
            <w:r>
              <w:t xml:space="preserve">44/80</w:t>
            </w:r>
          </w:p>
        </w:tc>
        <w:tc>
          <w:tcPr>
            <w:vAlign w:val="center"/>
          </w:tcPr>
          <w:p>
            <w:pPr>
              <w:pStyle w:val="MDPI42tablebody"/>
              <w:jc w:val="center"/>
            </w:pPr>
            <m:oMath>
              <m:r>
                <m:t>0.334</m:t>
              </m:r>
            </m:oMath>
            <w:r>
              <w:t xml:space="preserve"> </w:t>
            </w:r>
            <w:r>
              <w:t xml:space="preserve">(n.s.)</w:t>
            </w:r>
          </w:p>
        </w:tc>
      </w:tr>
      <w:tr>
        <w:trPr>
          <w:cantSplit/>
        </w:trPr>
        <w:tc>
          <w:tcPr>
            <w:vAlign w:val="center"/>
          </w:tcPr>
          <w:p>
            <w:pPr>
              <w:pStyle w:val="MDPI42tablebody"/>
              <w:jc w:val="center"/>
            </w:pPr>
            <w:r>
              <w:rPr>
                <w:rStyle w:val="VerbatimChar"/>
              </w:rPr>
              <w:t xml:space="preserve">sindy_mpc_conf_dagger</w:t>
            </w:r>
          </w:p>
        </w:tc>
        <w:tc>
          <w:tcPr>
            <w:vAlign w:val="center"/>
          </w:tcPr>
          <w:p>
            <w:pPr>
              <w:pStyle w:val="MDPI42tablebody"/>
              <w:jc w:val="center"/>
            </w:pPr>
            <m:oMath>
              <m:r>
                <m:rPr>
                  <m:sty m:val="p"/>
                </m:rPr>
                <m:t>−</m:t>
              </m:r>
              <m:r>
                <m:t>0.60</m:t>
              </m:r>
            </m:oMath>
            <w:r>
              <w:t xml:space="preserve">​</w:t>
            </w:r>
          </w:p>
        </w:tc>
        <w:tc>
          <w:tcPr>
            <w:vAlign w:val="center"/>
          </w:tcPr>
          <w:p>
            <w:pPr>
              <w:pStyle w:val="MDPI42tablebody"/>
              <w:jc w:val="center"/>
            </w:pPr>
            <m:oMath>
              <m:r>
                <m:rPr>
                  <m:sty m:val="p"/>
                </m:rPr>
                <m:t>−</m:t>
              </m:r>
              <m:r>
                <m:t>0.84</m:t>
              </m:r>
            </m:oMath>
            <w:r>
              <w:t xml:space="preserve">​</w:t>
            </w:r>
          </w:p>
        </w:tc>
        <w:tc>
          <w:tcPr>
            <w:vAlign w:val="center"/>
          </w:tcPr>
          <w:p>
            <w:pPr>
              <w:pStyle w:val="MDPI42tablebody"/>
              <w:jc w:val="center"/>
            </w:pPr>
            <w:r>
              <w:t xml:space="preserve">31/80</w:t>
            </w:r>
          </w:p>
        </w:tc>
        <w:tc>
          <w:tcPr>
            <w:vAlign w:val="center"/>
          </w:tcPr>
          <w:p>
            <w:pPr>
              <w:pStyle w:val="MDPI42tablebody"/>
              <w:jc w:val="center"/>
            </w:pPr>
            <m:oMath>
              <m:r>
                <m:t>0.334</m:t>
              </m:r>
            </m:oMath>
            <w:r>
              <w:t xml:space="preserve"> </w:t>
            </w:r>
            <w:r>
              <w:t xml:space="preserve">(n.s.)</w:t>
            </w:r>
          </w:p>
        </w:tc>
      </w:tr>
      <w:tr>
        <w:trPr>
          <w:cantSplit/>
        </w:trPr>
        <w:tc>
          <w:tcPr>
            <w:vAlign w:val="center"/>
          </w:tcPr>
          <w:p>
            <w:pPr>
              <w:pStyle w:val="MDPI42tablebody"/>
              <w:jc w:val="center"/>
            </w:pPr>
            <w:r>
              <w:rPr>
                <w:rStyle w:val="VerbatimChar"/>
              </w:rPr>
              <w:t xml:space="preserve">sindy_mpc_dense_dagger</w:t>
            </w:r>
          </w:p>
        </w:tc>
        <w:tc>
          <w:tcPr>
            <w:vAlign w:val="center"/>
          </w:tcPr>
          <w:p>
            <w:pPr>
              <w:pStyle w:val="MDPI42tablebody"/>
              <w:jc w:val="center"/>
            </w:pPr>
            <m:oMath>
              <m:r>
                <m:rPr>
                  <m:sty m:val="p"/>
                </m:rPr>
                <m:t>−</m:t>
              </m:r>
              <m:r>
                <m:t>0.89</m:t>
              </m:r>
            </m:oMath>
            <w:r>
              <w:t xml:space="preserve">​</w:t>
            </w:r>
          </w:p>
        </w:tc>
        <w:tc>
          <w:tcPr>
            <w:vAlign w:val="center"/>
          </w:tcPr>
          <w:p>
            <w:pPr>
              <w:pStyle w:val="MDPI42tablebody"/>
              <w:jc w:val="center"/>
            </w:pPr>
            <m:oMath>
              <m:r>
                <m:rPr>
                  <m:sty m:val="p"/>
                </m:rPr>
                <m:t>−</m:t>
              </m:r>
              <m:r>
                <m:t>0.79</m:t>
              </m:r>
            </m:oMath>
            <w:r>
              <w:t xml:space="preserve">​</w:t>
            </w:r>
          </w:p>
        </w:tc>
        <w:tc>
          <w:tcPr>
            <w:vAlign w:val="center"/>
          </w:tcPr>
          <w:p>
            <w:pPr>
              <w:pStyle w:val="MDPI42tablebody"/>
              <w:jc w:val="center"/>
            </w:pPr>
            <w:r>
              <w:t xml:space="preserve">23/80</w:t>
            </w:r>
          </w:p>
        </w:tc>
        <w:tc>
          <w:tcPr>
            <w:vAlign w:val="center"/>
          </w:tcPr>
          <w:p>
            <w:pPr>
              <w:pStyle w:val="MDPI42tablebody"/>
              <w:jc w:val="center"/>
            </w:pPr>
            <m:oMath>
              <m:r>
                <m:t>1.2</m:t>
              </m:r>
              <m:r>
                <m:rPr>
                  <m:sty m:val="p"/>
                </m:rPr>
                <m:t>×</m:t>
              </m:r>
              <m:sSup>
                <m:e>
                  <m:r>
                    <m:t>10</m:t>
                  </m:r>
                </m:e>
                <m:sup>
                  <m:r>
                    <m:rPr>
                      <m:sty m:val="p"/>
                    </m:rPr>
                    <m:t>−</m:t>
                  </m:r>
                  <m:r>
                    <m:t>4</m:t>
                  </m:r>
                </m:sup>
              </m:sSup>
            </m:oMath>
            <w:r>
              <w:t xml:space="preserve">​</w:t>
            </w:r>
          </w:p>
        </w:tc>
      </w:tr>
      <w:tr>
        <w:trPr>
          <w:cantSplit/>
        </w:trPr>
        <w:tc>
          <w:tcPr>
            <w:vAlign w:val="center"/>
          </w:tcPr>
          <w:p>
            <w:pPr>
              <w:pStyle w:val="MDPI42tablebody"/>
              <w:jc w:val="center"/>
            </w:pPr>
            <w:r>
              <w:rPr>
                <w:rStyle w:val="VerbatimChar"/>
              </w:rPr>
              <w:t xml:space="preserve">ppo</w:t>
            </w:r>
          </w:p>
        </w:tc>
        <w:tc>
          <w:tcPr>
            <w:vAlign w:val="center"/>
          </w:tcPr>
          <w:p>
            <w:pPr>
              <w:pStyle w:val="MDPI42tablebody"/>
              <w:jc w:val="center"/>
            </w:pPr>
            <m:oMath>
              <m:r>
                <m:rPr>
                  <m:sty m:val="p"/>
                </m:rPr>
                <m:t>−</m:t>
              </m:r>
              <m:r>
                <m:t>1.81</m:t>
              </m:r>
            </m:oMath>
            <w:r>
              <w:t xml:space="preserve">​</w:t>
            </w:r>
          </w:p>
        </w:tc>
        <w:tc>
          <w:tcPr>
            <w:vAlign w:val="center"/>
          </w:tcPr>
          <w:p>
            <w:pPr>
              <w:pStyle w:val="MDPI42tablebody"/>
              <w:jc w:val="center"/>
            </w:pPr>
            <m:oMath>
              <m:r>
                <m:rPr>
                  <m:sty m:val="p"/>
                </m:rPr>
                <m:t>−</m:t>
              </m:r>
              <m:r>
                <m:t>1.78</m:t>
              </m:r>
            </m:oMath>
            <w:r>
              <w:t xml:space="preserve">​</w:t>
            </w:r>
          </w:p>
        </w:tc>
        <w:tc>
          <w:tcPr>
            <w:vAlign w:val="center"/>
          </w:tcPr>
          <w:p>
            <w:pPr>
              <w:pStyle w:val="MDPI42tablebody"/>
              <w:jc w:val="center"/>
            </w:pPr>
            <w:r>
              <w:t xml:space="preserve">11/80</w:t>
            </w:r>
          </w:p>
        </w:tc>
        <w:tc>
          <w:tcPr>
            <w:vAlign w:val="center"/>
          </w:tcPr>
          <w:p>
            <w:pPr>
              <w:pStyle w:val="MDPI42tablebody"/>
              <w:jc w:val="center"/>
            </w:pPr>
            <m:oMath>
              <m:r>
                <m:t>2.3</m:t>
              </m:r>
              <m:r>
                <m:rPr>
                  <m:sty m:val="p"/>
                </m:rPr>
                <m:t>×</m:t>
              </m:r>
              <m:sSup>
                <m:e>
                  <m:r>
                    <m:t>10</m:t>
                  </m:r>
                </m:e>
                <m:sup>
                  <m:r>
                    <m:rPr>
                      <m:sty m:val="p"/>
                    </m:rPr>
                    <m:t>−</m:t>
                  </m:r>
                  <m:r>
                    <m:t>10</m:t>
                  </m:r>
                </m:sup>
              </m:sSup>
            </m:oMath>
            <w:r>
              <w:t xml:space="preserve">​</w:t>
            </w:r>
          </w:p>
        </w:tc>
      </w:tr>
      <w:tr>
        <w:trPr>
          <w:cantSplit/>
        </w:trPr>
        <w:tc>
          <w:tcPr>
            <w:vAlign w:val="center"/>
          </w:tcPr>
          <w:p>
            <w:pPr>
              <w:pStyle w:val="MDPI42tablebody"/>
              <w:jc w:val="center"/>
            </w:pPr>
            <w:r>
              <w:rPr>
                <w:rStyle w:val="VerbatimChar"/>
              </w:rPr>
              <w:t xml:space="preserve">sindy_mpc_conf</w:t>
            </w:r>
          </w:p>
        </w:tc>
        <w:tc>
          <w:tcPr>
            <w:vAlign w:val="center"/>
          </w:tcPr>
          <w:p>
            <w:pPr>
              <w:pStyle w:val="MDPI42tablebody"/>
              <w:jc w:val="center"/>
            </w:pPr>
            <m:oMath>
              <m:r>
                <m:rPr>
                  <m:sty m:val="p"/>
                </m:rPr>
                <m:t>−</m:t>
              </m:r>
              <m:r>
                <m:t>1.98</m:t>
              </m:r>
            </m:oMath>
            <w:r>
              <w:t xml:space="preserve">​</w:t>
            </w:r>
          </w:p>
        </w:tc>
        <w:tc>
          <w:tcPr>
            <w:vAlign w:val="center"/>
          </w:tcPr>
          <w:p>
            <w:pPr>
              <w:pStyle w:val="MDPI42tablebody"/>
              <w:jc w:val="center"/>
            </w:pPr>
            <m:oMath>
              <m:r>
                <m:rPr>
                  <m:sty m:val="p"/>
                </m:rPr>
                <m:t>−</m:t>
              </m:r>
              <m:r>
                <m:t>1.91</m:t>
              </m:r>
            </m:oMath>
            <w:r>
              <w:t xml:space="preserve">​</w:t>
            </w:r>
          </w:p>
        </w:tc>
        <w:tc>
          <w:tcPr>
            <w:vAlign w:val="center"/>
          </w:tcPr>
          <w:p>
            <w:pPr>
              <w:pStyle w:val="MDPI42tablebody"/>
              <w:jc w:val="center"/>
            </w:pPr>
            <w:r>
              <w:t xml:space="preserve">29/80</w:t>
            </w:r>
          </w:p>
        </w:tc>
        <w:tc>
          <w:tcPr>
            <w:vAlign w:val="center"/>
          </w:tcPr>
          <w:p>
            <w:pPr>
              <w:pStyle w:val="MDPI42tablebody"/>
              <w:jc w:val="center"/>
            </w:pPr>
            <m:oMath>
              <m:r>
                <m:t>6.8</m:t>
              </m:r>
              <m:r>
                <m:rPr>
                  <m:sty m:val="p"/>
                </m:rPr>
                <m:t>×</m:t>
              </m:r>
              <m:sSup>
                <m:e>
                  <m:r>
                    <m:t>10</m:t>
                  </m:r>
                </m:e>
                <m:sup>
                  <m:r>
                    <m:rPr>
                      <m:sty m:val="p"/>
                    </m:rPr>
                    <m:t>−</m:t>
                  </m:r>
                  <m:r>
                    <m:t>5</m:t>
                  </m:r>
                </m:sup>
              </m:sSup>
            </m:oMath>
            <w:r>
              <w:t xml:space="preserve">​</w:t>
            </w:r>
          </w:p>
        </w:tc>
      </w:tr>
      <w:tr>
        <w:trPr>
          <w:cantSplit/>
        </w:trP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m:oMath>
              <m:r>
                <m:rPr>
                  <m:sty m:val="p"/>
                </m:rPr>
                <m:t>−</m:t>
              </m:r>
              <m:r>
                <m:t>3.47</m:t>
              </m:r>
            </m:oMath>
            <w:r>
              <w:t xml:space="preserve">​</w:t>
            </w:r>
          </w:p>
        </w:tc>
        <w:tc>
          <w:tcPr>
            <w:vAlign w:val="center"/>
          </w:tcPr>
          <w:p>
            <w:pPr>
              <w:pStyle w:val="MDPI42tablebody"/>
              <w:jc w:val="center"/>
            </w:pPr>
            <m:oMath>
              <m:r>
                <m:rPr>
                  <m:sty m:val="p"/>
                </m:rPr>
                <m:t>−</m:t>
              </m:r>
              <m:r>
                <m:t>3.32</m:t>
              </m:r>
            </m:oMath>
            <w:r>
              <w:t xml:space="preserve">​</w:t>
            </w:r>
          </w:p>
        </w:tc>
        <w:tc>
          <w:tcPr>
            <w:vAlign w:val="center"/>
          </w:tcPr>
          <w:p>
            <w:pPr>
              <w:pStyle w:val="MDPI42tablebody"/>
              <w:jc w:val="center"/>
            </w:pPr>
            <w:r>
              <w:t xml:space="preserve">0/80</w:t>
            </w:r>
          </w:p>
        </w:tc>
        <w:tc>
          <w:tcPr>
            <w:vAlign w:val="center"/>
          </w:tcPr>
          <w:p>
            <w:pPr>
              <w:pStyle w:val="MDPI42tablebody"/>
              <w:jc w:val="center"/>
            </w:pPr>
            <m:oMath>
              <m:r>
                <m:t>7.3</m:t>
              </m:r>
              <m:r>
                <m:rPr>
                  <m:sty m:val="p"/>
                </m:rPr>
                <m:t>×</m:t>
              </m:r>
              <m:sSup>
                <m:e>
                  <m:r>
                    <m:t>10</m:t>
                  </m:r>
                </m:e>
                <m:sup>
                  <m:r>
                    <m:rPr>
                      <m:sty m:val="p"/>
                    </m:rPr>
                    <m:t>−</m:t>
                  </m:r>
                  <m:r>
                    <m:t>14</m:t>
                  </m:r>
                </m:sup>
              </m:sSup>
            </m:oMath>
            <w:r>
              <w:t xml:space="preserve">​</w:t>
            </w:r>
          </w:p>
        </w:tc>
      </w:tr>
      <w:tr>
        <w:trPr>
          <w:cantSplit/>
        </w:trPr>
        <w:tc>
          <w:tcPr>
            <w:vAlign w:val="center"/>
          </w:tcPr>
          <w:p>
            <w:pPr>
              <w:pStyle w:val="MDPI42tablebody"/>
              <w:jc w:val="center"/>
            </w:pPr>
            <w:r>
              <w:rPr>
                <w:rStyle w:val="VerbatimChar"/>
              </w:rPr>
              <w:t xml:space="preserve">oracle_mpc</w:t>
            </w:r>
          </w:p>
        </w:tc>
        <w:tc>
          <w:tcPr>
            <w:vAlign w:val="center"/>
          </w:tcPr>
          <w:p>
            <w:pPr>
              <w:pStyle w:val="MDPI42tablebody"/>
              <w:jc w:val="center"/>
            </w:pPr>
            <m:oMath>
              <m:r>
                <m:rPr>
                  <m:sty m:val="p"/>
                </m:rPr>
                <m:t>−</m:t>
              </m:r>
              <m:r>
                <m:t>4.73</m:t>
              </m:r>
            </m:oMath>
            <w:r>
              <w:t xml:space="preserve">​</w:t>
            </w:r>
          </w:p>
        </w:tc>
        <w:tc>
          <w:tcPr>
            <w:vAlign w:val="center"/>
          </w:tcPr>
          <w:p>
            <w:pPr>
              <w:pStyle w:val="MDPI42tablebody"/>
              <w:jc w:val="center"/>
            </w:pPr>
            <m:oMath>
              <m:r>
                <m:rPr>
                  <m:sty m:val="p"/>
                </m:rPr>
                <m:t>−</m:t>
              </m:r>
              <m:r>
                <m:t>4.79</m:t>
              </m:r>
            </m:oMath>
            <w:r>
              <w:t xml:space="preserve">​</w:t>
            </w:r>
          </w:p>
        </w:tc>
        <w:tc>
          <w:tcPr>
            <w:vAlign w:val="center"/>
          </w:tcPr>
          <w:p>
            <w:pPr>
              <w:pStyle w:val="MDPI42tablebody"/>
              <w:jc w:val="center"/>
            </w:pPr>
            <w:r>
              <w:t xml:space="preserve">0/60</w:t>
            </w:r>
          </w:p>
        </w:tc>
        <w:tc>
          <w:tcPr>
            <w:vAlign w:val="center"/>
          </w:tcPr>
          <w:p>
            <w:pPr>
              <w:pStyle w:val="MDPI42tablebody"/>
              <w:jc w:val="center"/>
            </w:pPr>
            <m:oMath>
              <m:r>
                <m:t>1.8</m:t>
              </m:r>
              <m:r>
                <m:rPr>
                  <m:sty m:val="p"/>
                </m:rPr>
                <m:t>×</m:t>
              </m:r>
              <m:sSup>
                <m:e>
                  <m:r>
                    <m:t>10</m:t>
                  </m:r>
                </m:e>
                <m:sup>
                  <m:r>
                    <m:rPr>
                      <m:sty m:val="p"/>
                    </m:rPr>
                    <m:t>−</m:t>
                  </m:r>
                  <m:r>
                    <m:t>10</m:t>
                  </m:r>
                </m:sup>
              </m:sSup>
            </m:oMath>
            <w:r>
              <w:t xml:space="preserve">​</w:t>
            </w:r>
          </w:p>
        </w:tc>
      </w:tr>
      <w:tr>
        <w:trPr>
          <w:cantSplit/>
        </w:trPr>
        <w:tc>
          <w:tcPr>
            <w:vAlign w:val="center"/>
          </w:tcPr>
          <w:p>
            <w:pPr>
              <w:pStyle w:val="MDPI42tablebody"/>
              <w:jc w:val="center"/>
            </w:pPr>
            <w:r>
              <w:rPr>
                <w:rStyle w:val="VerbatimChar"/>
              </w:rPr>
              <w:t xml:space="preserve">nn_mpc</w:t>
            </w:r>
          </w:p>
        </w:tc>
        <w:tc>
          <w:tcPr>
            <w:vAlign w:val="center"/>
          </w:tcPr>
          <w:p>
            <w:pPr>
              <w:pStyle w:val="MDPI42tablebody"/>
              <w:jc w:val="center"/>
            </w:pPr>
            <m:oMath>
              <m:r>
                <m:rPr>
                  <m:sty m:val="p"/>
                </m:rPr>
                <m:t>−</m:t>
              </m:r>
              <m:r>
                <m:t>6.08</m:t>
              </m:r>
            </m:oMath>
            <w:r>
              <w:t xml:space="preserve">​</w:t>
            </w:r>
          </w:p>
        </w:tc>
        <w:tc>
          <w:tcPr>
            <w:vAlign w:val="center"/>
          </w:tcPr>
          <w:p>
            <w:pPr>
              <w:pStyle w:val="MDPI42tablebody"/>
              <w:jc w:val="center"/>
            </w:pPr>
            <m:oMath>
              <m:r>
                <m:rPr>
                  <m:sty m:val="p"/>
                </m:rPr>
                <m:t>−</m:t>
              </m:r>
              <m:r>
                <m:t>5.52</m:t>
              </m:r>
            </m:oMath>
            <w:r>
              <w:t xml:space="preserve">​</w:t>
            </w:r>
          </w:p>
        </w:tc>
        <w:tc>
          <w:tcPr>
            <w:vAlign w:val="center"/>
          </w:tcPr>
          <w:p>
            <w:pPr>
              <w:pStyle w:val="MDPI42tablebody"/>
              <w:jc w:val="center"/>
            </w:pPr>
            <w:r>
              <w:t xml:space="preserve">0/40</w:t>
            </w:r>
          </w:p>
        </w:tc>
        <w:tc>
          <w:tcPr>
            <w:vAlign w:val="center"/>
          </w:tcPr>
          <w:p>
            <w:pPr>
              <w:pStyle w:val="MDPI42tablebody"/>
              <w:jc w:val="center"/>
            </w:pPr>
            <m:oMath>
              <m:r>
                <m:t>2.4</m:t>
              </m:r>
              <m:r>
                <m:rPr>
                  <m:sty m:val="p"/>
                </m:rPr>
                <m:t>×</m:t>
              </m:r>
              <m:sSup>
                <m:e>
                  <m:r>
                    <m:t>10</m:t>
                  </m:r>
                </m:e>
                <m:sup>
                  <m:r>
                    <m:rPr>
                      <m:sty m:val="p"/>
                    </m:rPr>
                    <m:t>−</m:t>
                  </m:r>
                  <m:r>
                    <m:t>11</m:t>
                  </m:r>
                </m:sup>
              </m:sSup>
            </m:oMath>
            <w:r>
              <w:t xml:space="preserve">​</w:t>
            </w:r>
          </w:p>
        </w:tc>
      </w:tr>
      <w:tr>
        <w:trPr>
          <w:cantSplit/>
        </w:trPr>
        <w:tc>
          <w:tcPr>
            <w:vAlign w:val="center"/>
          </w:tcPr>
          <w:p>
            <w:pPr>
              <w:pStyle w:val="MDPI42tablebody"/>
              <w:jc w:val="center"/>
            </w:pPr>
            <w:r>
              <w:rPr>
                <w:rStyle w:val="VerbatimChar"/>
              </w:rPr>
              <w:t xml:space="preserve">sac</w:t>
            </w:r>
          </w:p>
        </w:tc>
        <w:tc>
          <w:tcPr>
            <w:vAlign w:val="center"/>
          </w:tcPr>
          <w:p>
            <w:pPr>
              <w:pStyle w:val="MDPI42tablebody"/>
              <w:jc w:val="center"/>
            </w:pPr>
            <m:oMath>
              <m:r>
                <m:rPr>
                  <m:sty m:val="p"/>
                </m:rPr>
                <m:t>−</m:t>
              </m:r>
              <m:r>
                <m:t>6.41</m:t>
              </m:r>
            </m:oMath>
            <w:r>
              <w:t xml:space="preserve">​</w:t>
            </w:r>
          </w:p>
        </w:tc>
        <w:tc>
          <w:tcPr>
            <w:vAlign w:val="center"/>
          </w:tcPr>
          <w:p>
            <w:pPr>
              <w:pStyle w:val="MDPI42tablebody"/>
              <w:jc w:val="center"/>
            </w:pPr>
            <m:oMath>
              <m:r>
                <m:rPr>
                  <m:sty m:val="p"/>
                </m:rPr>
                <m:t>−</m:t>
              </m:r>
              <m:r>
                <m:t>6.68</m:t>
              </m:r>
            </m:oMath>
            <w:r>
              <w:t xml:space="preserve">​</w:t>
            </w:r>
          </w:p>
        </w:tc>
        <w:tc>
          <w:tcPr>
            <w:vAlign w:val="center"/>
          </w:tcPr>
          <w:p>
            <w:pPr>
              <w:pStyle w:val="MDPI42tablebody"/>
              <w:jc w:val="center"/>
            </w:pPr>
            <w:r>
              <w:t xml:space="preserve">0/80</w:t>
            </w:r>
          </w:p>
        </w:tc>
        <w:tc>
          <w:tcPr>
            <w:vAlign w:val="center"/>
          </w:tcPr>
          <w:p>
            <w:pPr>
              <w:pStyle w:val="MDPI42tablebody"/>
              <w:jc w:val="center"/>
            </w:pPr>
            <m:oMath>
              <m:r>
                <m:t>1.1</m:t>
              </m:r>
              <m:r>
                <m:rPr>
                  <m:sty m:val="p"/>
                </m:rPr>
                <m:t>×</m:t>
              </m:r>
              <m:sSup>
                <m:e>
                  <m:r>
                    <m:t>10</m:t>
                  </m:r>
                </m:e>
                <m:sup>
                  <m:r>
                    <m:rPr>
                      <m:sty m:val="p"/>
                    </m:rPr>
                    <m:t>−</m:t>
                  </m:r>
                  <m:r>
                    <m:t>13</m:t>
                  </m:r>
                </m:sup>
              </m:sSup>
            </m:oMath>
            <w:r>
              <w:t xml:space="preserve">​</w:t>
            </w:r>
          </w:p>
        </w:tc>
      </w:tr>
    </w:tbl>
    <w:bookmarkEnd w:id="49"/>
    <w:bookmarkStart w:id="53" w:name="fig:pareto"/>
    <w:p>
      <w:pPr>
        <w:pStyle w:val="MDPI52figure"/>
        <w:jc w:val="center"/>
        <w:keepNext/>
      </w:pPr>
      <w:r>
        <w:drawing>
          <wp:inline>
            <wp:extent cx="2874482" cy="3066827"/>
            <wp:effectExtent b="0" l="0" r="0" t="0"/>
            <wp:docPr descr="" title="" id="51" name="Picture"/>
            <a:graphic>
              <a:graphicData uri="http://schemas.openxmlformats.org/drawingml/2006/picture">
                <pic:pic>
                  <pic:nvPicPr>
                    <pic:cNvPr descr="figures/fig2_pareto_margin_violations.png" id="52" name="Picture"/>
                    <pic:cNvPicPr>
                      <a:picLocks noChangeArrowheads="1" noChangeAspect="1"/>
                    </pic:cNvPicPr>
                  </pic:nvPicPr>
                  <pic:blipFill>
                    <a:blip r:embed="rId50"/>
                    <a:stretch>
                      <a:fillRect/>
                    </a:stretch>
                  </pic:blipFill>
                  <pic:spPr bwMode="auto">
                    <a:xfrm>
                      <a:off x="0" y="0"/>
                      <a:ext cx="2874482" cy="3066827"/>
                    </a:xfrm>
                    <a:prstGeom prst="rect">
                      <a:avLst/>
                    </a:prstGeom>
                    <a:noFill/>
                    <a:ln w="9525">
                      <a:noFill/>
                      <a:headEnd/>
                      <a:tailEnd/>
                    </a:ln>
                  </pic:spPr>
                </pic:pic>
              </a:graphicData>
            </a:graphic>
          </wp:inline>
        </w:drawing>
      </w:r>
    </w:p>
    <w:p>
      <w:pPr>
        <w:pStyle w:val="MDPI51figurecaption"/>
        <w:keepLines/>
      </w:pPr>
      <w:r>
        <w:rPr>
          <w:b/>
        </w:rPr>
        <w:t xml:space="preserve">Figure 2. </w:t>
      </w:r>
      <w:r>
        <w:t xml:space="preserve">Margin against constraint pressure over four test seasons, priced objective,</w:t>
      </w:r>
      <w:r>
        <w:t xml:space="preserve"> </w:t>
      </w:r>
      <w:r>
        <w:t xml:space="preserve">fifteen controllers. The non-dominated set has five members; the raw-library SINDy-MPC</w:t>
      </w:r>
      <w:r>
        <w:t xml:space="preserve"> </w:t>
      </w:r>
      <w:r>
        <w:t xml:space="preserve">attains the highest margin and PPO the fewest violations, and the tuned heuristic lies</w:t>
      </w:r>
      <w:r>
        <w:t xml:space="preserve"> </w:t>
      </w:r>
      <w:r>
        <w:t xml:space="preserve">inside the front. The two full-</w:t>
      </w:r>
      <w:r>
        <w:rPr>
          <w:rStyle w:val="VerbatimChar"/>
        </w:rPr>
        <w:t xml:space="preserve">physics</w:t>
      </w:r>
      <w:r>
        <w:t xml:space="preserve"> </w:t>
      </w:r>
      <w:r>
        <w:t xml:space="preserve">controllers are dominated on both axes by</w:t>
      </w:r>
      <w:r>
        <w:t xml:space="preserve"> </w:t>
      </w:r>
      <w:r>
        <w:t xml:space="preserve">the raw-library leader — lower margin</w:t>
      </w:r>
      <w:r>
        <w:t xml:space="preserve"> </w:t>
      </w:r>
      <w:r>
        <w:rPr>
          <w:i/>
          <w:iCs/>
        </w:rPr>
        <w:t xml:space="preserve">and</w:t>
      </w:r>
      <w:r>
        <w:t xml:space="preserve"> </w:t>
      </w:r>
      <w:r>
        <w:t xml:space="preserve">more violation steps — so completing</w:t>
      </w:r>
      <w:r>
        <w:t xml:space="preserve"> </w:t>
      </w:r>
      <w:r>
        <w:t xml:space="preserve">the conditioning series does not extend the front. Two of the five front points are one</w:t>
      </w:r>
      <w:r>
        <w:t xml:space="preserve"> </w:t>
      </w:r>
      <w:r>
        <w:t xml:space="preserve">physics-informed controller under two thresholds,</w:t>
      </w:r>
      <w:r>
        <w:t xml:space="preserve"> </w:t>
      </w:r>
      <m:oMath>
        <m:r>
          <m:t>0.0066</m:t>
        </m:r>
      </m:oMath>
      <w:r>
        <w:t xml:space="preserve"> </w:t>
      </w:r>
      <w:r>
        <w:t xml:space="preserve">EUR m</w:t>
      </w:r>
      <m:oMath>
        <m:sSup>
          <m:e>
            <m:r>
              <m:t>​</m:t>
            </m:r>
          </m:e>
          <m:sup>
            <m:r>
              <m:rPr>
                <m:sty m:val="p"/>
              </m:rPr>
              <m:t>−</m:t>
            </m:r>
            <m:r>
              <m:t>2</m:t>
            </m:r>
          </m:sup>
        </m:sSup>
      </m:oMath>
      <w:r>
        <w:t xml:space="preserve"> </w:t>
      </w:r>
      <w:r>
        <w:t xml:space="preserve">and 5 violation</w:t>
      </w:r>
      <w:r>
        <w:t xml:space="preserve"> </w:t>
      </w:r>
      <w:r>
        <w:t xml:space="preserve">steps apart, and a third owes part of its position to 7 truncated runs of 80. Replication</w:t>
      </w:r>
      <w:r>
        <w:t xml:space="preserve"> </w:t>
      </w:r>
      <w:r>
        <w:t xml:space="preserve">is unequal:</w:t>
      </w:r>
      <w:r>
        <w:t xml:space="preserve"> </w:t>
      </w:r>
      <m:oMath>
        <m:r>
          <m:t>n</m:t>
        </m:r>
        <m:r>
          <m:rPr>
            <m:sty m:val="p"/>
          </m:rPr>
          <m:t>=</m:t>
        </m:r>
        <m:r>
          <m:t>80</m:t>
        </m:r>
      </m:oMath>
      <w:r>
        <w:t xml:space="preserve"> </w:t>
      </w:r>
      <w:r>
        <w:t xml:space="preserve">for the SINDy and reinforcement-learning controllers, 60 for the</w:t>
      </w:r>
      <w:r>
        <w:t xml:space="preserve"> </w:t>
      </w:r>
      <w:r>
        <w:t xml:space="preserve">full-model planner (2022 removed by the solver-abort rule), 40 for the neural-network MPC</w:t>
      </w:r>
      <w:r>
        <w:t xml:space="preserve"> </w:t>
      </w:r>
      <w:r>
        <w:t xml:space="preserve">and 4 for either heuristic. Data:</w:t>
      </w:r>
      <w:r>
        <w:t xml:space="preserve"> </w:t>
      </w:r>
      <w:r>
        <w:rPr>
          <w:rStyle w:val="VerbatimChar"/>
        </w:rPr>
        <w:t xml:space="preserve">regen/results/priced_main/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 </w:t>
      </w:r>
      <w:r>
        <w:t xml:space="preserve">and</w:t>
      </w:r>
      <w:r>
        <w:t xml:space="preserve"> </w:t>
      </w:r>
      <w:r>
        <w:rPr>
          <w:rStyle w:val="VerbatimChar"/>
        </w:rPr>
        <w:t xml:space="preserve">n2_tune/tune_rb_n2.csv</w:t>
      </w:r>
      <w:r>
        <w:t xml:space="preserve">; the harnesses are kept apart deliberately.</w:t>
      </w:r>
    </w:p>
    <w:bookmarkEnd w:id="53"/>
    <w:bookmarkEnd w:id="54"/>
    <w:bookmarkStart w:id="56" w:name="sec:res-unseen"/>
    <w:p>
      <w:pPr>
        <w:pStyle w:val="MDPI22heading2"/>
        <w:keepNext/>
      </w:pPr>
      <w:r>
        <w:t xml:space="preserve">3.4. </w:t>
      </w:r>
      <w:r>
        <w:t xml:space="preserve">Four unseen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predate the objective correction and use the</w:t>
      </w:r>
      <w:r>
        <w:t xml:space="preserve"> </w:t>
      </w:r>
      <w:r>
        <w:rPr>
          <w:i/>
          <w:iCs/>
        </w:rPr>
        <w:t xml:space="preserve">original</w:t>
      </w:r>
      <w:r>
        <w:t xml:space="preserve"> </w:t>
      </w:r>
      <w:r>
        <w:t xml:space="preserve">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w:t>
      </w:r>
      <w:r>
        <w:t xml:space="preserve"> </w:t>
      </w:r>
      <w:r>
        <w:rPr>
          <w:i/>
          <w:iCs/>
        </w:rPr>
        <w:t xml:space="preserve">below</w:t>
      </w:r>
      <w:r>
        <w:t xml:space="preserve"> </w:t>
      </w:r>
      <w:r>
        <w:t xml:space="preserve">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w:t>
      </w:r>
      <w:r>
        <w:t xml:space="preserve"> </w:t>
      </w:r>
      <w:r>
        <w:rPr>
          <w:i/>
          <w:iCs/>
        </w:rPr>
        <w:t xml:space="preserve">hard-coded</w:t>
      </w:r>
      <w:r>
        <w:t xml:space="preserve"> </w:t>
      </w:r>
      <w:r>
        <w:t xml:space="preserve">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5" w:name="tab:unseen"/>
    <w:p>
      <w:pPr>
        <w:pStyle w:val="MDPI41tablecaption"/>
        <w:keepNext/>
      </w:pPr>
      <w:r>
        <w:rPr>
          <w:b/>
        </w:rPr>
        <w:t xml:space="preserve">Table 8. </w:t>
      </w:r>
      <w:r>
        <w:t xml:space="preserve">Four seasons never used at any stage,</w:t>
      </w:r>
      <w:r>
        <w:t xml:space="preserve"> </w:t>
      </w:r>
      <w:r>
        <w:rPr>
          <w:i/>
          <w:iCs/>
        </w:rPr>
        <w:t xml:space="preserve">original</w:t>
      </w:r>
      <w:r>
        <w:t xml:space="preserve"> </w:t>
      </w:r>
      <w:r>
        <w:t xml:space="preserve">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dxa" w:w="7920"/>
        <w:tblLook w:firstRow="1" w:lastRow="0" w:firstColumn="0" w:lastColumn="0" w:noHBand="0" w:noVBand="0" w:val="0020"/>
        <w:tblCaption w:val="Four seasons never used at any stage, original objective, 8 seeds. EPI in EUR m^{-2}. Source: regen/results/n5_years/main_n5.csv."/>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990"/>
        <w:gridCol w:w="990"/>
        <w:gridCol w:w="990"/>
        <w:gridCol w:w="990"/>
        <w:gridCol w:w="990"/>
        <w:gridCol w:w="990"/>
        <w:gridCol w:w="990"/>
        <w:gridCol w:w="990"/>
      </w:tblGrid>
      <w:tr>
        <w:trPr>
          <w:tblHeader w:val="on"/>
          <w:cantSplit/>
        </w:trPr>
        <w:tc>
          <w:tcPr>
            <w:vAlign w:val="center"/>
            <w:tcBorders>
              <w:bottom w:val="single" w:sz="8" w:space="0" w:color="000000"/>
            </w:tcBorders>
          </w:tcPr>
          <w:p>
            <w:pPr>
              <w:pStyle w:val="MDPI42tablebody"/>
              <w:jc w:val="center"/>
            </w:pPr>
            <w:r>
              <w:rPr>
                <w:b/>
              </w:rPr>
              <w:t xml:space="preserve">Controller</w:t>
            </w:r>
          </w:p>
        </w:tc>
        <w:tc>
          <w:tcPr>
            <w:vAlign w:val="center"/>
            <w:tcBorders>
              <w:bottom w:val="single" w:sz="8" w:space="0" w:color="000000"/>
            </w:tcBorders>
          </w:tcPr>
          <w:p>
            <w:pPr>
              <w:pStyle w:val="MDPI42tablebody"/>
              <w:jc w:val="center"/>
            </w:pPr>
            <w:r>
              <w:rPr>
                <w:b/>
              </w:rPr>
              <w:t xml:space="preserve">2014</w:t>
            </w:r>
          </w:p>
        </w:tc>
        <w:tc>
          <w:tcPr>
            <w:vAlign w:val="center"/>
            <w:tcBorders>
              <w:bottom w:val="single" w:sz="8" w:space="0" w:color="000000"/>
            </w:tcBorders>
          </w:tcPr>
          <w:p>
            <w:pPr>
              <w:pStyle w:val="MDPI42tablebody"/>
              <w:jc w:val="center"/>
            </w:pPr>
            <w:r>
              <w:rPr>
                <w:b/>
              </w:rPr>
              <w:t xml:space="preserve">2015</w:t>
            </w:r>
          </w:p>
        </w:tc>
        <w:tc>
          <w:tcPr>
            <w:vAlign w:val="center"/>
            <w:tcBorders>
              <w:bottom w:val="single" w:sz="8" w:space="0" w:color="000000"/>
            </w:tcBorders>
          </w:tcPr>
          <w:p>
            <w:pPr>
              <w:pStyle w:val="MDPI42tablebody"/>
              <w:jc w:val="center"/>
            </w:pPr>
            <w:r>
              <w:rPr>
                <w:b/>
              </w:rPr>
              <w:t xml:space="preserve">2016</w:t>
            </w:r>
          </w:p>
        </w:tc>
        <w:tc>
          <w:tcPr>
            <w:vAlign w:val="center"/>
            <w:tcBorders>
              <w:bottom w:val="single" w:sz="8" w:space="0" w:color="000000"/>
            </w:tcBorders>
          </w:tcPr>
          <w:p>
            <w:pPr>
              <w:pStyle w:val="MDPI42tablebody"/>
              <w:jc w:val="center"/>
            </w:pPr>
            <w:r>
              <w:rPr>
                <w:b/>
              </w:rPr>
              <w:t xml:space="preserve">2017</w:t>
            </w:r>
          </w:p>
        </w:tc>
        <w:tc>
          <w:tcPr>
            <w:vAlign w:val="center"/>
            <w:tcBorders>
              <w:bottom w:val="single" w:sz="8" w:space="0" w:color="000000"/>
            </w:tcBorders>
          </w:tcPr>
          <w:p>
            <w:pPr>
              <w:pStyle w:val="MDPI42tablebody"/>
              <w:jc w:val="center"/>
            </w:pPr>
            <w:r>
              <w:rPr>
                <w:b/>
              </w:rPr>
              <w:t xml:space="preserve">Mean</w:t>
            </w:r>
          </w:p>
        </w:tc>
        <w:tc>
          <w:tcPr>
            <w:vAlign w:val="center"/>
            <w:tcBorders>
              <w:bottom w:val="single" w:sz="8" w:space="0" w:color="000000"/>
            </w:tcBorders>
          </w:tcPr>
          <w:p>
            <w:pPr>
              <w:pStyle w:val="MDPI42tablebody"/>
              <w:jc w:val="center"/>
            </w:pPr>
            <w:r>
              <w:rPr>
                <w:b/>
              </w:rPr>
              <w:t xml:space="preserve">SD (</w:t>
            </w:r>
            <m:oMath>
              <m:r>
                <m:t>n</m:t>
              </m:r>
              <m:r>
                <m:rPr>
                  <m:sty m:val="p"/>
                </m:rPr>
                <m:t>=</m:t>
              </m:r>
              <m:r>
                <m:t>32</m:t>
              </m:r>
            </m:oMath>
            <w:r>
              <w:rPr>
                <w:b/>
              </w:rPr>
              <w:t xml:space="preserve">)</w:t>
            </w:r>
          </w:p>
        </w:tc>
        <w:tc>
          <w:tcPr>
            <w:vAlign w:val="center"/>
            <w:tcBorders>
              <w:bottom w:val="single" w:sz="8" w:space="0" w:color="000000"/>
            </w:tcBorders>
          </w:tcPr>
          <w:p>
            <w:pPr>
              <w:pStyle w:val="MDPI42tablebody"/>
              <w:jc w:val="center"/>
            </w:pPr>
            <w:r>
              <w:rPr>
                <w:b/>
              </w:rPr>
              <w:t xml:space="preserve">Viol.</w:t>
            </w:r>
          </w:p>
        </w:tc>
      </w:tr>
      <w:tr>
        <w:trPr>
          <w:cantSplit/>
        </w:trPr>
        <w:tc>
          <w:tcPr>
            <w:vAlign w:val="center"/>
          </w:tcPr>
          <w:p>
            <w:pPr>
              <w:pStyle w:val="MDPI42tablebody"/>
              <w:jc w:val="center"/>
            </w:pPr>
            <w:r>
              <w:rPr>
                <w:rStyle w:val="VerbatimChar"/>
              </w:rPr>
              <w:t xml:space="preserve">sindy_mpc_raw_ens</w:t>
            </w:r>
          </w:p>
        </w:tc>
        <w:tc>
          <w:tcPr>
            <w:vAlign w:val="center"/>
          </w:tcPr>
          <w:p>
            <w:pPr>
              <w:pStyle w:val="MDPI42tablebody"/>
              <w:jc w:val="center"/>
            </w:pPr>
            <m:oMath>
              <m:r>
                <m:rPr>
                  <m:sty m:val="p"/>
                </m:rPr>
                <m:t>+</m:t>
              </m:r>
              <m:r>
                <m:t>7.08</m:t>
              </m:r>
            </m:oMath>
            <w:r>
              <w:t xml:space="preserve">​</w:t>
            </w:r>
          </w:p>
        </w:tc>
        <w:tc>
          <w:tcPr>
            <w:vAlign w:val="center"/>
          </w:tcPr>
          <w:p>
            <w:pPr>
              <w:pStyle w:val="MDPI42tablebody"/>
              <w:jc w:val="center"/>
            </w:pPr>
            <m:oMath>
              <m:r>
                <m:rPr>
                  <m:sty m:val="p"/>
                </m:rPr>
                <m:t>+</m:t>
              </m:r>
              <m:r>
                <m:t>6.25</m:t>
              </m:r>
            </m:oMath>
            <w:r>
              <w:t xml:space="preserve">​</w:t>
            </w:r>
          </w:p>
        </w:tc>
        <w:tc>
          <w:tcPr>
            <w:vAlign w:val="center"/>
          </w:tcPr>
          <w:p>
            <w:pPr>
              <w:pStyle w:val="MDPI42tablebody"/>
              <w:jc w:val="center"/>
            </w:pPr>
            <m:oMath>
              <m:r>
                <m:rPr>
                  <m:sty m:val="p"/>
                </m:rPr>
                <m:t>+</m:t>
              </m:r>
              <m:r>
                <m:t>5.98</m:t>
              </m:r>
            </m:oMath>
            <w:r>
              <w:t xml:space="preserve">​</w:t>
            </w:r>
          </w:p>
        </w:tc>
        <w:tc>
          <w:tcPr>
            <w:vAlign w:val="center"/>
          </w:tcPr>
          <w:p>
            <w:pPr>
              <w:pStyle w:val="MDPI42tablebody"/>
              <w:jc w:val="center"/>
            </w:pPr>
            <m:oMath>
              <m:r>
                <m:rPr>
                  <m:sty m:val="p"/>
                </m:rPr>
                <m:t>+</m:t>
              </m:r>
              <m:r>
                <m:t>6.38</m:t>
              </m:r>
            </m:oMath>
            <w:r>
              <w:t xml:space="preserve">​</w:t>
            </w:r>
          </w:p>
        </w:tc>
        <w:tc>
          <w:tcPr>
            <w:vAlign w:val="center"/>
          </w:tcPr>
          <w:p>
            <w:pPr>
              <w:pStyle w:val="MDPI42tablebody"/>
              <w:jc w:val="center"/>
            </w:pPr>
            <m:oMath>
              <m:r>
                <m:rPr>
                  <m:sty m:val="b"/>
                </m:rPr>
                <m:t>+</m:t>
              </m:r>
              <m:r>
                <m:rPr>
                  <m:sty m:val="b"/>
                </m:rPr>
                <m:t>6.42</m:t>
              </m:r>
            </m:oMath>
            <w:r>
              <w:t xml:space="preserve">​</w:t>
            </w:r>
          </w:p>
        </w:tc>
        <w:tc>
          <w:tcPr>
            <w:vAlign w:val="center"/>
          </w:tcPr>
          <w:p>
            <w:pPr>
              <w:pStyle w:val="MDPI42tablebody"/>
              <w:jc w:val="center"/>
            </w:pPr>
            <w:r>
              <w:t xml:space="preserve">0.95</w:t>
            </w:r>
          </w:p>
        </w:tc>
        <w:tc>
          <w:tcPr>
            <w:vAlign w:val="center"/>
          </w:tcPr>
          <w:p>
            <w:pPr>
              <w:pStyle w:val="MDPI42tablebody"/>
              <w:jc w:val="center"/>
            </w:pPr>
            <w:r>
              <w:t xml:space="preserve">4385</w:t>
            </w:r>
          </w:p>
        </w:tc>
      </w:tr>
      <w:tr>
        <w:trPr>
          <w:cantSplit/>
        </w:trPr>
        <w:tc>
          <w:tcPr>
            <w:vAlign w:val="center"/>
          </w:tcPr>
          <w:p>
            <w:pPr>
              <w:pStyle w:val="MDPI42tablebody"/>
              <w:jc w:val="center"/>
            </w:pPr>
            <w:r>
              <w:rPr>
                <w:rStyle w:val="VerbatimChar"/>
              </w:rPr>
              <w:t xml:space="preserve">sindy_mpc_conf</w:t>
            </w:r>
          </w:p>
        </w:tc>
        <w:tc>
          <w:tcPr>
            <w:vAlign w:val="center"/>
          </w:tcPr>
          <w:p>
            <w:pPr>
              <w:pStyle w:val="MDPI42tablebody"/>
              <w:jc w:val="center"/>
            </w:pPr>
            <m:oMath>
              <m:r>
                <m:rPr>
                  <m:sty m:val="p"/>
                </m:rPr>
                <m:t>+</m:t>
              </m:r>
              <m:r>
                <m:t>3.06</m:t>
              </m:r>
            </m:oMath>
            <w:r>
              <w:t xml:space="preserve">​</w:t>
            </w:r>
          </w:p>
        </w:tc>
        <w:tc>
          <w:tcPr>
            <w:vAlign w:val="center"/>
          </w:tcPr>
          <w:p>
            <w:pPr>
              <w:pStyle w:val="MDPI42tablebody"/>
              <w:jc w:val="center"/>
            </w:pPr>
            <m:oMath>
              <m:r>
                <m:rPr>
                  <m:sty m:val="p"/>
                </m:rPr>
                <m:t>+</m:t>
              </m:r>
              <m:r>
                <m:t>1.70</m:t>
              </m:r>
            </m:oMath>
            <w:r>
              <w:t xml:space="preserve">​</w:t>
            </w:r>
          </w:p>
        </w:tc>
        <w:tc>
          <w:tcPr>
            <w:vAlign w:val="center"/>
          </w:tcPr>
          <w:p>
            <w:pPr>
              <w:pStyle w:val="MDPI42tablebody"/>
              <w:jc w:val="center"/>
            </w:pPr>
            <m:oMath>
              <m:r>
                <m:rPr>
                  <m:sty m:val="p"/>
                </m:rPr>
                <m:t>+</m:t>
              </m:r>
              <m:r>
                <m:t>2.18</m:t>
              </m:r>
            </m:oMath>
            <w:r>
              <w:t xml:space="preserve">​</w:t>
            </w:r>
          </w:p>
        </w:tc>
        <w:tc>
          <w:tcPr>
            <w:vAlign w:val="center"/>
          </w:tcPr>
          <w:p>
            <w:pPr>
              <w:pStyle w:val="MDPI42tablebody"/>
              <w:jc w:val="center"/>
            </w:pPr>
            <m:oMath>
              <m:r>
                <m:rPr>
                  <m:sty m:val="p"/>
                </m:rPr>
                <m:t>+</m:t>
              </m:r>
              <m:r>
                <m:t>2.57</m:t>
              </m:r>
            </m:oMath>
            <w:r>
              <w:t xml:space="preserve">​</w:t>
            </w:r>
          </w:p>
        </w:tc>
        <w:tc>
          <w:tcPr>
            <w:vAlign w:val="center"/>
          </w:tcPr>
          <w:p>
            <w:pPr>
              <w:pStyle w:val="MDPI42tablebody"/>
              <w:jc w:val="center"/>
            </w:pPr>
            <m:oMath>
              <m:r>
                <m:rPr>
                  <m:sty m:val="p"/>
                </m:rPr>
                <m:t>+</m:t>
              </m:r>
              <m:r>
                <m:t>2.38</m:t>
              </m:r>
            </m:oMath>
            <w:r>
              <w:t xml:space="preserve">​</w:t>
            </w:r>
          </w:p>
        </w:tc>
        <w:tc>
          <w:tcPr>
            <w:vAlign w:val="center"/>
          </w:tcPr>
          <w:p>
            <w:pPr>
              <w:pStyle w:val="MDPI42tablebody"/>
              <w:jc w:val="center"/>
            </w:pPr>
            <w:r>
              <w:t xml:space="preserve">4.03</w:t>
            </w:r>
          </w:p>
        </w:tc>
        <w:tc>
          <w:tcPr>
            <w:vAlign w:val="center"/>
          </w:tcPr>
          <w:p>
            <w:pPr>
              <w:pStyle w:val="MDPI42tablebody"/>
              <w:jc w:val="center"/>
            </w:pPr>
            <w:r>
              <w:t xml:space="preserve">5458</w:t>
            </w:r>
          </w:p>
        </w:tc>
      </w:tr>
      <w:tr>
        <w:trPr>
          <w:cantSplit/>
        </w:trPr>
        <w:tc>
          <w:tcPr>
            <w:vAlign w:val="center"/>
          </w:tcPr>
          <w:p>
            <w:pPr>
              <w:pStyle w:val="MDPI42tablebody"/>
              <w:jc w:val="center"/>
            </w:pPr>
            <w:r>
              <w:rPr>
                <w:rStyle w:val="VerbatimChar"/>
              </w:rPr>
              <w:t xml:space="preserve">sindy_mpc_dense</w:t>
            </w:r>
          </w:p>
        </w:tc>
        <w:tc>
          <w:tcPr>
            <w:vAlign w:val="center"/>
          </w:tcPr>
          <w:p>
            <w:pPr>
              <w:pStyle w:val="MDPI42tablebody"/>
              <w:jc w:val="center"/>
            </w:pPr>
            <m:oMath>
              <m:r>
                <m:rPr>
                  <m:sty m:val="p"/>
                </m:rPr>
                <m:t>+</m:t>
              </m:r>
              <m:r>
                <m:t>1.63</m:t>
              </m:r>
            </m:oMath>
            <w:r>
              <w:t xml:space="preserve">​</w:t>
            </w:r>
          </w:p>
        </w:tc>
        <w:tc>
          <w:tcPr>
            <w:vAlign w:val="center"/>
          </w:tcPr>
          <w:p>
            <w:pPr>
              <w:pStyle w:val="MDPI42tablebody"/>
              <w:jc w:val="center"/>
            </w:pPr>
            <m:oMath>
              <m:r>
                <m:rPr>
                  <m:sty m:val="p"/>
                </m:rPr>
                <m:t>+</m:t>
              </m:r>
              <m:r>
                <m:t>0.55</m:t>
              </m:r>
            </m:oMath>
            <w:r>
              <w:t xml:space="preserve">​</w:t>
            </w:r>
          </w:p>
        </w:tc>
        <w:tc>
          <w:tcPr>
            <w:vAlign w:val="center"/>
          </w:tcPr>
          <w:p>
            <w:pPr>
              <w:pStyle w:val="MDPI42tablebody"/>
              <w:jc w:val="center"/>
            </w:pPr>
            <m:oMath>
              <m:r>
                <m:rPr>
                  <m:sty m:val="p"/>
                </m:rPr>
                <m:t>+</m:t>
              </m:r>
              <m:r>
                <m:t>0.84</m:t>
              </m:r>
            </m:oMath>
            <w:r>
              <w:t xml:space="preserve">​</w:t>
            </w:r>
          </w:p>
        </w:tc>
        <w:tc>
          <w:tcPr>
            <w:vAlign w:val="center"/>
          </w:tcPr>
          <w:p>
            <w:pPr>
              <w:pStyle w:val="MDPI42tablebody"/>
              <w:jc w:val="center"/>
            </w:pPr>
            <m:oMath>
              <m:r>
                <m:rPr>
                  <m:sty m:val="p"/>
                </m:rPr>
                <m:t>+</m:t>
              </m:r>
              <m:r>
                <m:t>1.27</m:t>
              </m:r>
            </m:oMath>
            <w:r>
              <w:t xml:space="preserve">​</w:t>
            </w:r>
          </w:p>
        </w:tc>
        <w:tc>
          <w:tcPr>
            <w:vAlign w:val="center"/>
          </w:tcPr>
          <w:p>
            <w:pPr>
              <w:pStyle w:val="MDPI42tablebody"/>
              <w:jc w:val="center"/>
            </w:pPr>
            <m:oMath>
              <m:r>
                <m:rPr>
                  <m:sty m:val="p"/>
                </m:rPr>
                <m:t>+</m:t>
              </m:r>
              <m:r>
                <m:t>1.07</m:t>
              </m:r>
            </m:oMath>
            <w:r>
              <w:t xml:space="preserve">​</w:t>
            </w:r>
          </w:p>
        </w:tc>
        <w:tc>
          <w:tcPr>
            <w:vAlign w:val="center"/>
          </w:tcPr>
          <w:p>
            <w:pPr>
              <w:pStyle w:val="MDPI42tablebody"/>
              <w:jc w:val="center"/>
            </w:pPr>
            <w:r>
              <w:t xml:space="preserve">1.74</w:t>
            </w:r>
          </w:p>
        </w:tc>
        <w:tc>
          <w:tcPr>
            <w:vAlign w:val="center"/>
          </w:tcPr>
          <w:p>
            <w:pPr>
              <w:pStyle w:val="MDPI42tablebody"/>
              <w:jc w:val="center"/>
            </w:pPr>
            <w:r>
              <w:t xml:space="preserve">6226</w:t>
            </w:r>
          </w:p>
        </w:tc>
      </w:tr>
      <w:tr>
        <w:trPr>
          <w:cantSplit/>
        </w:trP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m:oMath>
              <m:r>
                <m:rPr>
                  <m:sty m:val="p"/>
                </m:rPr>
                <m:t>+</m:t>
              </m:r>
              <m:r>
                <m:t>0.99</m:t>
              </m:r>
            </m:oMath>
            <w:r>
              <w:t xml:space="preserve">​</w:t>
            </w:r>
          </w:p>
        </w:tc>
        <w:tc>
          <w:tcPr>
            <w:vAlign w:val="center"/>
          </w:tcPr>
          <w:p>
            <w:pPr>
              <w:pStyle w:val="MDPI42tablebody"/>
              <w:jc w:val="center"/>
            </w:pPr>
            <m:oMath>
              <m:r>
                <m:rPr>
                  <m:sty m:val="p"/>
                </m:rPr>
                <m:t>−</m:t>
              </m:r>
              <m:r>
                <m:t>1.13</m:t>
              </m:r>
            </m:oMath>
            <w:r>
              <w:t xml:space="preserve">​</w:t>
            </w:r>
          </w:p>
        </w:tc>
        <w:tc>
          <w:tcPr>
            <w:vAlign w:val="center"/>
          </w:tcPr>
          <w:p>
            <w:pPr>
              <w:pStyle w:val="MDPI42tablebody"/>
              <w:jc w:val="center"/>
            </w:pPr>
            <m:oMath>
              <m:r>
                <m:rPr>
                  <m:sty m:val="p"/>
                </m:rPr>
                <m:t>−</m:t>
              </m:r>
              <m:r>
                <m:t>2.22</m:t>
              </m:r>
            </m:oMath>
            <w:r>
              <w:t xml:space="preserve">​</w:t>
            </w:r>
          </w:p>
        </w:tc>
        <w:tc>
          <w:tcPr>
            <w:vAlign w:val="center"/>
          </w:tcPr>
          <w:p>
            <w:pPr>
              <w:pStyle w:val="MDPI42tablebody"/>
              <w:jc w:val="center"/>
            </w:pPr>
            <m:oMath>
              <m:r>
                <m:rPr>
                  <m:sty m:val="p"/>
                </m:rPr>
                <m:t>+</m:t>
              </m:r>
              <m:r>
                <m:t>1.05</m:t>
              </m:r>
            </m:oMath>
            <w:r>
              <w:t xml:space="preserve">​</w:t>
            </w:r>
          </w:p>
        </w:tc>
        <w:tc>
          <w:tcPr>
            <w:vAlign w:val="center"/>
          </w:tcPr>
          <w:p>
            <w:pPr>
              <w:pStyle w:val="MDPI42tablebody"/>
              <w:jc w:val="center"/>
            </w:pPr>
            <m:oMath>
              <m:r>
                <m:rPr>
                  <m:sty m:val="p"/>
                </m:rPr>
                <m:t>−</m:t>
              </m:r>
              <m:r>
                <m:t>0.33</m:t>
              </m:r>
            </m:oMath>
            <w:r>
              <w:t xml:space="preserve">​</w:t>
            </w:r>
          </w:p>
        </w:tc>
        <w:tc>
          <w:tcPr>
            <w:vAlign w:val="center"/>
          </w:tcPr>
          <w:p>
            <w:pPr>
              <w:pStyle w:val="MDPI42tablebody"/>
              <w:jc w:val="center"/>
            </w:pPr>
            <w:r>
              <w:t xml:space="preserve">1.42</w:t>
            </w:r>
            <m:oMath>
              <m:sSup>
                <m:e>
                  <m:r>
                    <m:t>​</m:t>
                  </m:r>
                </m:e>
                <m:sup>
                  <m:r>
                    <m:rPr>
                      <m:sty m:val="p"/>
                    </m:rPr>
                    <m:t>*</m:t>
                  </m:r>
                </m:sup>
              </m:sSup>
            </m:oMath>
          </w:p>
        </w:tc>
        <w:tc>
          <w:tcPr>
            <w:vAlign w:val="center"/>
          </w:tcPr>
          <w:p>
            <w:pPr>
              <w:pStyle w:val="MDPI42tablebody"/>
              <w:jc w:val="center"/>
            </w:pPr>
            <w:r>
              <w:rPr>
                <w:b/>
                <w:bCs/>
              </w:rPr>
              <w:t xml:space="preserve">2624</w:t>
            </w:r>
          </w:p>
        </w:tc>
      </w:tr>
    </w:tbl>
    <w:bookmarkEnd w:id="55"/>
    <w:p>
      <w:pPr>
        <w:pStyle w:val="MDPI31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across-season spread, not run-to-run error, and the paired test</w:t>
      </w:r>
      <w:r>
        <w:t xml:space="preserve"> </w:t>
      </w:r>
      <w:r>
        <w:t xml:space="preserve">against it is one-sample, as in Table </w:t>
      </w:r>
      <w:hyperlink w:anchor="tab:main">
        <w:r>
          <w:rPr>
            <w:rStyle w:val="Hyperlink"/>
          </w:rPr>
          <w:t xml:space="preserve">6</w:t>
        </w:r>
      </w:hyperlink>
      <w:r>
        <w:t xml:space="preserve">.</w:t>
      </w:r>
    </w:p>
    <w:bookmarkEnd w:id="56"/>
    <w:bookmarkStart w:id="64" w:name="sec:res-mech"/>
    <w:p>
      <w:pPr>
        <w:pStyle w:val="MDPI22heading2"/>
        <w:keepNext/>
      </w:pPr>
      <w:r>
        <w:t xml:space="preserve">3.5. </w:t>
      </w:r>
      <w:r>
        <w:t xml:space="preserve">Mechanism</w:t>
      </w:r>
    </w:p>
    <w:p>
      <w:pPr>
        <w:pStyle w:val="MDPI31text"/>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[25] and as expected from the identification-for-control literature</w:t>
      </w:r>
      <w:r>
        <w:t xml:space="preserve"> </w:t>
      </w:r>
      <w:r>
        <w:t xml:space="preserve">[16–17].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w:t>
      </w:r>
      <w:r>
        <w:t xml:space="preserve"> </w:t>
      </w:r>
      <w:r>
        <w:rPr>
          <w:i/>
          <w:iCs/>
        </w:rPr>
        <w:t xml:space="preserve">middle</w:t>
      </w:r>
      <w:r>
        <w:t xml:space="preserve"> </w:t>
      </w:r>
      <w:r>
        <w:t xml:space="preserve">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MDPI31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w:t>
      </w:r>
      <w:r>
        <w:t xml:space="preserve"> </w:t>
      </w:r>
      <w:r>
        <w:rPr>
          <w:i/>
          <w:iCs/>
        </w:rPr>
        <w:t xml:space="preserve">direct</w:t>
      </w:r>
      <w:r>
        <w:t xml:space="preserve"> </w:t>
      </w:r>
      <w:r>
        <w:t xml:space="preserve">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w:t>
      </w:r>
      <w:r>
        <w:t xml:space="preserve"> </w:t>
      </w:r>
      <w:r>
        <w:rPr>
          <w:i/>
          <w:iCs/>
        </w:rPr>
        <w:t xml:space="preserve">which</w:t>
      </w:r>
      <w:r>
        <w:t xml:space="preserve"> </w:t>
      </w:r>
      <w:r>
        <w:t xml:space="preserve">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original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effect survives repricing while its typical size collapses by a factor</w:t>
      </w:r>
      <w:r>
        <w:t xml:space="preserve"> </w:t>
      </w:r>
      <w:r>
        <w:t xml:space="preserve">of about 14 — most of the apparent value of the coefficient was an artefact of the</w:t>
      </w:r>
      <w:r>
        <w:t xml:space="preserve"> </w:t>
      </w:r>
      <w:r>
        <w:t xml:space="preserve">mis-weighted stage cost, not of the term.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w:t>
      </w:r>
      <w:r>
        <w:t xml:space="preserve"> </w:t>
      </w:r>
      <w:r>
        <w:rPr>
          <w:i/>
          <w:iCs/>
        </w:rPr>
        <w:t xml:space="preserve">dropped</w:t>
      </w:r>
      <w:r>
        <w:t xml:space="preserve"> </w:t>
      </w:r>
      <w:r>
        <w:t xml:space="preserve">(</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w:t>
      </w:r>
      <w:r>
        <w:t xml:space="preserve"> </w:t>
      </w:r>
      <w:r>
        <w:rPr>
          <w:i/>
          <w:iCs/>
        </w:rPr>
        <w:t xml:space="preserve">kept</w:t>
      </w:r>
      <w:r>
        <w:t xml:space="preserve"> </w:t>
      </w:r>
      <w:r>
        <w:t xml:space="preserve">(</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MDPI31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7" w:name="tab:survival3"/>
    <w:p>
      <w:pPr>
        <w:pStyle w:val="MDPI41tablecaption"/>
        <w:keepNext/>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dxa" w:w="792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131"/>
        <w:gridCol w:w="1131"/>
        <w:gridCol w:w="1131"/>
        <w:gridCol w:w="1131"/>
        <w:gridCol w:w="1131"/>
        <w:gridCol w:w="1131"/>
        <w:gridCol w:w="1131"/>
      </w:tblGrid>
      <w:tr>
        <w:trPr>
          <w:tblHeader/>
          <w:cantSplit/>
        </w:trPr>
        <w:tc>
          <w:tcPr>
            <w:vAlign w:val="center"/>
            <w:tcBorders>
              <w:bottom w:val="single" w:sz="8" w:space="0" w:color="000000"/>
            </w:tcBorders>
          </w:tcPr>
          <w:p>
            <w:pPr>
              <w:pStyle w:val="MDPI42tablebody"/>
              <w:jc w:val="center"/>
            </w:pPr>
            <w:r>
              <w:rPr>
                <w:b/>
              </w:rPr>
              <w:t xml:space="preserve">Library</w:t>
            </w:r>
          </w:p>
        </w:tc>
        <w:tc>
          <w:tcPr>
            <w:vAlign w:val="center"/>
            <w:tcBorders>
              <w:bottom w:val="single" w:sz="8" w:space="0" w:color="000000"/>
            </w:tcBorders>
          </w:tcPr>
          <w:p>
            <w:pPr>
              <w:pStyle w:val="MDPI42tablebody"/>
              <w:jc w:val="center"/>
            </w:pPr>
            <w:r>
              <w:rPr>
                <w:b/>
              </w:rPr>
              <w:t xml:space="preserve">Controller</w:t>
            </w:r>
          </w:p>
        </w:tc>
        <w:tc>
          <w:tcPr>
            <w:vAlign w:val="center"/>
            <w:tcBorders>
              <w:bottom w:val="single" w:sz="8" w:space="0" w:color="000000"/>
            </w:tcBorders>
          </w:tcPr>
          <w:p>
            <w:pPr>
              <w:pStyle w:val="MDPI42tablebody"/>
              <w:jc w:val="center"/>
            </w:pPr>
            <m:oMath>
              <m:r>
                <m:t>κ</m:t>
              </m:r>
            </m:oMath>
            <w:r>
              <w:rPr>
                <w:b/>
              </w:rPr>
              <w:t xml:space="preserve">​</w:t>
            </w:r>
          </w:p>
        </w:tc>
        <w:tc>
          <w:tcPr>
            <w:vAlign w:val="center"/>
            <w:tcBorders>
              <w:bottom w:val="single" w:sz="8" w:space="0" w:color="000000"/>
            </w:tcBorders>
          </w:tcPr>
          <w:p>
            <w:pPr>
              <w:pStyle w:val="MDPI42tablebody"/>
              <w:jc w:val="center"/>
            </w:pPr>
            <w:r>
              <w:rPr>
                <w:b/>
              </w:rPr>
              <w:t xml:space="preserve">Rollout</w:t>
            </w:r>
          </w:p>
        </w:tc>
        <w:tc>
          <w:tcPr>
            <w:vAlign w:val="center"/>
            <w:tcBorders>
              <w:bottom w:val="single" w:sz="8" w:space="0" w:color="000000"/>
            </w:tcBorders>
          </w:tcPr>
          <w:p>
            <w:pPr>
              <w:pStyle w:val="MDPI42tablebody"/>
              <w:jc w:val="center"/>
            </w:pPr>
            <w:r>
              <w:rPr>
                <w:b/>
              </w:rPr>
              <w:t xml:space="preserve">Diverged</w:t>
            </w:r>
          </w:p>
        </w:tc>
        <w:tc>
          <w:tcPr>
            <w:vAlign w:val="center"/>
            <w:tcBorders>
              <w:bottom w:val="single" w:sz="8" w:space="0" w:color="000000"/>
            </w:tcBorders>
          </w:tcPr>
          <w:p>
            <w:pPr>
              <w:pStyle w:val="MDPI42tablebody"/>
              <w:jc w:val="center"/>
            </w:pPr>
            <m:oMath>
              <m:r>
                <m:t>ξ</m:t>
              </m:r>
            </m:oMath>
            <w:r>
              <w:rPr>
                <w:b/>
              </w:rPr>
              <w:t xml:space="preserve">​</w:t>
            </w:r>
          </w:p>
        </w:tc>
        <w:tc>
          <w:tcPr>
            <w:vAlign w:val="center"/>
            <w:tcBorders>
              <w:bottom w:val="single" w:sz="8" w:space="0" w:color="000000"/>
            </w:tcBorders>
          </w:tcPr>
          <w:p>
            <w:pPr>
              <w:pStyle w:val="MDPI42tablebody"/>
              <w:jc w:val="center"/>
            </w:pPr>
            <w:r>
              <w:rPr>
                <w:b/>
              </w:rPr>
              <w:t xml:space="preserve">EPI</w:t>
            </w:r>
          </w:p>
        </w:tc>
      </w:tr>
      <w:tr>
        <w:trPr>
          <w:cantSplit/>
        </w:trP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median (</w:t>
            </w:r>
            <m:oMath>
              <m:sSup>
                <m:e>
                  <m:r>
                    <m:t>​</m:t>
                  </m:r>
                </m:e>
                <m:sup>
                  <m:r>
                    <m:rPr>
                      <m:sty m:val="p"/>
                    </m:rPr>
                    <m:t>∘</m:t>
                  </m:r>
                </m:sup>
              </m:sSup>
            </m:oMath>
            <w:r>
              <w:t xml:space="preserve">C)</w:t>
            </w:r>
          </w:p>
        </w:tc>
        <w:tc>
          <w:tcPr>
            <w:vAlign w:val="center"/>
          </w:tcPr>
          <w:p>
            <w:pPr>
              <w:pStyle w:val="MDPI42tablebody"/>
              <w:jc w:val="center"/>
            </w:pPr>
            <w:r>
              <w:t xml:space="preserve">fraction</w:t>
            </w:r>
          </w:p>
        </w:tc>
        <w:tc>
          <w:tcPr>
            <w:vAlign w:val="center"/>
          </w:tcPr>
          <w:p>
            <w:pPr>
              <w:pStyle w:val="MDPI42tablebody"/>
              <w:jc w:val="center"/>
            </w:pPr>
            <w:r>
              <w:t xml:space="preserve">survival</w:t>
            </w:r>
          </w:p>
        </w:tc>
        <w:tc>
          <w:tcPr>
            <w:vAlign w:val="center"/>
          </w:tcPr>
          <w:p>
            <w:pPr>
              <w:pStyle w:val="MDPI42tablebody"/>
              <w:jc w:val="center"/>
            </w:pPr>
            <w:r>
              <w:t xml:space="preserve">(four-season)</w:t>
            </w:r>
          </w:p>
        </w:tc>
      </w:tr>
      <w:tr>
        <w:trPr>
          <w:cantSplit/>
        </w:trPr>
        <w:tc>
          <w:tcPr>
            <w:gridSpan w:val="7"/>
            <w:vAlign w:val="center"/>
          </w:tcPr>
          <w:p>
            <w:pPr>
              <w:pStyle w:val="MDPI42tablebody"/>
              <w:jc w:val="center"/>
            </w:pPr>
            <w:r>
              <w:rPr>
                <w:i/>
                <w:iCs/>
              </w:rPr>
              <w:t xml:space="preserve">Ensemble estimator</w:t>
            </w:r>
          </w:p>
        </w:tc>
      </w:tr>
      <w:tr>
        <w:trPr>
          <w:cantSplit/>
        </w:trPr>
        <w:tc>
          <w:tcPr>
            <w:vAlign w:val="center"/>
          </w:tcPr>
          <w:p>
            <w:pPr>
              <w:pStyle w:val="MDPI42tablebody"/>
              <w:jc w:val="center"/>
            </w:pPr>
            <w:r>
              <w:rPr>
                <w:rStyle w:val="VerbatimChar"/>
              </w:rPr>
              <w:t xml:space="preserve">raw</w:t>
            </w:r>
          </w:p>
        </w:tc>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8.21</w:t>
            </w:r>
          </w:p>
        </w:tc>
        <w:tc>
          <w:tcPr>
            <w:vAlign w:val="center"/>
          </w:tcPr>
          <w:p>
            <w:pPr>
              <w:pStyle w:val="MDPI42tablebody"/>
              <w:jc w:val="center"/>
            </w:pPr>
            <w:r>
              <w:rPr>
                <w:b/>
                <w:bCs/>
              </w:rPr>
              <w:t xml:space="preserve">2.67</w:t>
            </w:r>
          </w:p>
        </w:tc>
        <w:tc>
          <w:tcPr>
            <w:vAlign w:val="center"/>
          </w:tcPr>
          <w:p>
            <w:pPr>
              <w:pStyle w:val="MDPI42tablebody"/>
              <w:jc w:val="center"/>
            </w:pPr>
            <w:r>
              <w:rPr>
                <w:b/>
                <w:bCs/>
              </w:rPr>
              <w:t xml:space="preserve">0.0000</w:t>
            </w:r>
          </w:p>
        </w:tc>
        <w:tc>
          <w:tcPr>
            <w:vAlign w:val="center"/>
          </w:tcPr>
          <w:p>
            <w:pPr>
              <w:pStyle w:val="MDPI42tablebody"/>
              <w:jc w:val="center"/>
            </w:pPr>
            <w:r>
              <w:t xml:space="preserve">0.55</w:t>
            </w:r>
          </w:p>
        </w:tc>
        <w:tc>
          <w:tcPr>
            <w:vAlign w:val="center"/>
          </w:tcPr>
          <w:p>
            <w:pPr>
              <w:pStyle w:val="MDPI42tablebody"/>
              <w:jc w:val="center"/>
            </w:pPr>
            <m:oMath>
              <m:r>
                <m:rPr>
                  <m:sty m:val="b"/>
                </m:rPr>
                <m:t>+</m:t>
              </m:r>
              <m:r>
                <m:rPr>
                  <m:sty m:val="b"/>
                </m:rPr>
                <m:t>4.32</m:t>
              </m:r>
              <m:r>
                <m:rPr>
                  <m:sty m:val="b"/>
                </m:rPr>
                <m:t>±</m:t>
              </m:r>
              <m:r>
                <m:rPr>
                  <m:sty m:val="b"/>
                </m:rPr>
                <m:t>4.08</m:t>
              </m:r>
            </m:oMath>
            <w:r>
              <w:t xml:space="preserve">​</w:t>
            </w:r>
          </w:p>
        </w:tc>
      </w:tr>
      <w:tr>
        <w:trPr>
          <w:cantSplit/>
        </w:trPr>
        <w:tc>
          <w:tcPr>
            <w:vAlign w:val="center"/>
          </w:tcPr>
          <w:p>
            <w:pPr>
              <w:pStyle w:val="MDPI42tablebody"/>
              <w:jc w:val="center"/>
            </w:pPr>
            <w:r>
              <w:rPr>
                <w:rStyle w:val="VerbatimChar"/>
              </w:rPr>
              <w:t xml:space="preserve">p_nc</w:t>
            </w:r>
          </w:p>
        </w:tc>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24.52</w:t>
            </w:r>
          </w:p>
        </w:tc>
        <w:tc>
          <w:tcPr>
            <w:vAlign w:val="center"/>
          </w:tcPr>
          <w:p>
            <w:pPr>
              <w:pStyle w:val="MDPI42tablebody"/>
              <w:jc w:val="center"/>
            </w:pPr>
            <w:r>
              <w:t xml:space="preserve">10.99</w:t>
            </w:r>
          </w:p>
        </w:tc>
        <w:tc>
          <w:tcPr>
            <w:vAlign w:val="center"/>
          </w:tcPr>
          <w:p>
            <w:pPr>
              <w:pStyle w:val="MDPI42tablebody"/>
              <w:jc w:val="center"/>
            </w:pPr>
            <w:r>
              <w:t xml:space="preserve">0.0208</w:t>
            </w:r>
          </w:p>
        </w:tc>
        <w:tc>
          <w:tcPr>
            <w:vAlign w:val="center"/>
          </w:tcPr>
          <w:p>
            <w:pPr>
              <w:pStyle w:val="MDPI42tablebody"/>
              <w:jc w:val="center"/>
            </w:pPr>
            <w:r>
              <w:t xml:space="preserve">0.15</w:t>
            </w:r>
          </w:p>
        </w:tc>
        <w:tc>
          <w:tcPr>
            <w:vAlign w:val="center"/>
          </w:tcPr>
          <w:p>
            <w:pPr>
              <w:pStyle w:val="MDPI42tablebody"/>
              <w:jc w:val="center"/>
            </w:pPr>
            <m:oMath>
              <m:r>
                <m:rPr>
                  <m:sty m:val="p"/>
                </m:rPr>
                <m:t>+</m:t>
              </m:r>
              <m:r>
                <m:t>0.28</m:t>
              </m:r>
              <m:r>
                <m:rPr>
                  <m:sty m:val="p"/>
                </m:rPr>
                <m:t>±</m:t>
              </m:r>
              <m:r>
                <m:t>4.11</m:t>
              </m:r>
            </m:oMath>
            <w:r>
              <w:t xml:space="preserve">​</w:t>
            </w:r>
          </w:p>
        </w:tc>
      </w:tr>
      <w:tr>
        <w:trPr>
          <w:cantSplit/>
        </w:trPr>
        <w:tc>
          <w:tcPr>
            <w:vAlign w:val="center"/>
          </w:tcPr>
          <w:p>
            <w:pPr>
              <w:pStyle w:val="MDPI42tablebody"/>
              <w:jc w:val="center"/>
            </w:pPr>
            <w:r>
              <w:rPr>
                <w:rStyle w:val="VerbatimChar"/>
              </w:rPr>
              <w:t xml:space="preserve">phys</w:t>
            </w:r>
          </w:p>
        </w:tc>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53.43</w:t>
            </w:r>
          </w:p>
        </w:tc>
        <w:tc>
          <w:tcPr>
            <w:vAlign w:val="center"/>
          </w:tcPr>
          <w:p>
            <w:pPr>
              <w:pStyle w:val="MDPI42tablebody"/>
              <w:jc w:val="center"/>
            </w:pPr>
            <w:r>
              <w:t xml:space="preserve">24.27</w:t>
            </w:r>
          </w:p>
        </w:tc>
        <w:tc>
          <w:tcPr>
            <w:vAlign w:val="center"/>
          </w:tcPr>
          <w:p>
            <w:pPr>
              <w:pStyle w:val="MDPI42tablebody"/>
              <w:jc w:val="center"/>
            </w:pPr>
            <w:r>
              <w:t xml:space="preserve">0.0767</w:t>
            </w:r>
          </w:p>
        </w:tc>
        <w:tc>
          <w:tcPr>
            <w:vAlign w:val="center"/>
          </w:tcPr>
          <w:p>
            <w:pPr>
              <w:pStyle w:val="MDPI42tablebody"/>
              <w:jc w:val="center"/>
            </w:pPr>
            <w:r>
              <w:t xml:space="preserve">0.55</w:t>
            </w:r>
          </w:p>
        </w:tc>
        <w:tc>
          <w:tcPr>
            <w:vAlign w:val="center"/>
          </w:tcPr>
          <w:p>
            <w:pPr>
              <w:pStyle w:val="MDPI42tablebody"/>
              <w:jc w:val="center"/>
            </w:pPr>
            <m:oMath>
              <m:r>
                <m:rPr>
                  <m:sty m:val="p"/>
                </m:rPr>
                <m:t>+</m:t>
              </m:r>
              <m:r>
                <m:t>2.75</m:t>
              </m:r>
              <m:r>
                <m:rPr>
                  <m:sty m:val="p"/>
                </m:rPr>
                <m:t>±</m:t>
              </m:r>
              <m:r>
                <m:t>3.47</m:t>
              </m:r>
            </m:oMath>
            <w:r>
              <w:t xml:space="preserve">​</w:t>
            </w:r>
          </w:p>
        </w:tc>
      </w:tr>
      <w:tr>
        <w:trPr>
          <w:cantSplit/>
        </w:trPr>
        <w:tc>
          <w:tcPr>
            <w:vAlign w:val="center"/>
          </w:tcPr>
          <w:p>
            <w:pPr>
              <w:pStyle w:val="MDPI42tablebody"/>
              <w:jc w:val="center"/>
            </w:pPr>
            <w:r>
              <w:rPr>
                <w:rStyle w:val="VerbatimChar"/>
              </w:rPr>
              <w:t xml:space="preserve">p_ntb</w:t>
            </w:r>
          </w:p>
        </w:tc>
        <w:tc>
          <w:tcPr>
            <w:vAlign w:val="center"/>
          </w:tcPr>
          <w:p>
            <w:pPr>
              <w:pStyle w:val="MDPI42tablebody"/>
              <w:jc w:val="center"/>
            </w:pPr>
            <w:r>
              <w:rPr>
                <w:rStyle w:val="VerbatimChar"/>
              </w:rPr>
              <w:t xml:space="preserve">sindy_mpc_notuboil_ens</w:t>
            </w:r>
          </w:p>
        </w:tc>
        <w:tc>
          <w:tcPr>
            <w:vAlign w:val="center"/>
          </w:tcPr>
          <w:p>
            <w:pPr>
              <w:pStyle w:val="MDPI42tablebody"/>
              <w:jc w:val="center"/>
            </w:pPr>
            <w:r>
              <w:t xml:space="preserve">52.28</w:t>
            </w:r>
          </w:p>
        </w:tc>
        <w:tc>
          <w:tcPr>
            <w:vAlign w:val="center"/>
          </w:tcPr>
          <w:p>
            <w:pPr>
              <w:pStyle w:val="MDPI42tablebody"/>
              <w:jc w:val="center"/>
            </w:pPr>
            <w:r>
              <w:t xml:space="preserve">24.17</w:t>
            </w:r>
          </w:p>
        </w:tc>
        <w:tc>
          <w:tcPr>
            <w:vAlign w:val="center"/>
          </w:tcPr>
          <w:p>
            <w:pPr>
              <w:pStyle w:val="MDPI42tablebody"/>
              <w:jc w:val="center"/>
            </w:pPr>
            <w:r>
              <w:t xml:space="preserve">0.0842</w:t>
            </w:r>
          </w:p>
        </w:tc>
        <w:tc>
          <w:tcPr>
            <w:vAlign w:val="center"/>
          </w:tcPr>
          <w:p>
            <w:pPr>
              <w:pStyle w:val="MDPI42tablebody"/>
              <w:jc w:val="center"/>
            </w:pPr>
            <w:r>
              <w:t xml:space="preserve">0.40</w:t>
            </w:r>
          </w:p>
        </w:tc>
        <w:tc>
          <w:tcPr>
            <w:vAlign w:val="center"/>
          </w:tcPr>
          <w:p>
            <w:pPr>
              <w:pStyle w:val="MDPI42tablebody"/>
              <w:jc w:val="center"/>
            </w:pPr>
            <m:oMath>
              <m:r>
                <m:rPr>
                  <m:sty m:val="p"/>
                </m:rPr>
                <m:t>+</m:t>
              </m:r>
              <m:r>
                <m:t>2.11</m:t>
              </m:r>
              <m:r>
                <m:rPr>
                  <m:sty m:val="p"/>
                </m:rPr>
                <m:t>±</m:t>
              </m:r>
              <m:r>
                <m:t>3.51</m:t>
              </m:r>
            </m:oMath>
            <w:r>
              <w:t xml:space="preserve">​</w:t>
            </w:r>
          </w:p>
        </w:tc>
      </w:tr>
      <w:tr>
        <w:trPr>
          <w:cantSplit/>
        </w:trP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r>
      <w:tr>
        <w:trPr>
          <w:cantSplit/>
        </w:trPr>
        <w:tc>
          <w:tcPr>
            <w:vAlign w:val="center"/>
          </w:tcPr>
          <w:p>
            <w:pPr>
              <w:pStyle w:val="MDPI42tablebody"/>
              <w:jc w:val="center"/>
            </w:pPr>
            <w:r>
              <w:rPr>
                <w:rStyle w:val="VerbatimChar"/>
              </w:rPr>
              <w:t xml:space="preserve">raw</w:t>
            </w:r>
          </w:p>
        </w:tc>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8.21</w:t>
            </w:r>
          </w:p>
        </w:tc>
        <w:tc>
          <w:tcPr>
            <w:vAlign w:val="center"/>
          </w:tcPr>
          <w:p>
            <w:pPr>
              <w:pStyle w:val="MDPI42tablebody"/>
              <w:jc w:val="center"/>
            </w:pPr>
            <w:r>
              <w:t xml:space="preserve">2.67</w:t>
            </w:r>
          </w:p>
        </w:tc>
        <w:tc>
          <w:tcPr>
            <w:vAlign w:val="center"/>
          </w:tcPr>
          <w:p>
            <w:pPr>
              <w:pStyle w:val="MDPI42tablebody"/>
              <w:jc w:val="center"/>
            </w:pPr>
            <w:r>
              <w:t xml:space="preserve">0.0000</w:t>
            </w:r>
          </w:p>
        </w:tc>
        <w:tc>
          <w:tcPr>
            <w:vAlign w:val="center"/>
          </w:tcPr>
          <w:p>
            <w:pPr>
              <w:pStyle w:val="MDPI42tablebody"/>
              <w:jc w:val="center"/>
            </w:pPr>
            <w:r>
              <w:t xml:space="preserve">0.50</w:t>
            </w:r>
          </w:p>
        </w:tc>
        <w:tc>
          <w:tcPr>
            <w:vAlign w:val="center"/>
          </w:tcPr>
          <w:p>
            <w:pPr>
              <w:pStyle w:val="MDPI42tablebody"/>
              <w:jc w:val="center"/>
            </w:pPr>
            <m:oMath>
              <m:r>
                <m:rPr>
                  <m:sty m:val="p"/>
                </m:rPr>
                <m:t>+</m:t>
              </m:r>
              <m:r>
                <m:t>3.83</m:t>
              </m:r>
              <m:r>
                <m:rPr>
                  <m:sty m:val="p"/>
                </m:rPr>
                <m:t>±</m:t>
              </m:r>
              <m:r>
                <m:t>4.23</m:t>
              </m:r>
            </m:oMath>
            <w:r>
              <w:t xml:space="preserve">​</w:t>
            </w:r>
          </w:p>
        </w:tc>
      </w:tr>
      <w:tr>
        <w:trPr>
          <w:cantSplit/>
        </w:trPr>
        <w:tc>
          <w:tcPr>
            <w:vAlign w:val="center"/>
          </w:tcPr>
          <w:p>
            <w:pPr>
              <w:pStyle w:val="MDPI42tablebody"/>
              <w:jc w:val="center"/>
            </w:pPr>
            <w:r>
              <w:rPr>
                <w:rStyle w:val="VerbatimChar"/>
              </w:rPr>
              <w:t xml:space="preserve">p_nc</w:t>
            </w:r>
          </w:p>
        </w:tc>
        <w:tc>
          <w:tcPr>
            <w:vAlign w:val="center"/>
          </w:tcPr>
          <w:p>
            <w:pPr>
              <w:pStyle w:val="MDPI42tablebody"/>
              <w:jc w:val="center"/>
            </w:pPr>
            <w:r>
              <w:t xml:space="preserve">— (not run)</w:t>
            </w:r>
          </w:p>
        </w:tc>
        <w:tc>
          <w:tcPr>
            <w:vAlign w:val="center"/>
          </w:tcPr>
          <w:p>
            <w:pPr>
              <w:pStyle w:val="MDPI42tablebody"/>
              <w:jc w:val="center"/>
            </w:pPr>
            <w:r>
              <w:t xml:space="preserve">24.52</w:t>
            </w:r>
          </w:p>
        </w:tc>
        <w:tc>
          <w:tcPr>
            <w:vAlign w:val="center"/>
          </w:tcPr>
          <w:p>
            <w:pPr>
              <w:pStyle w:val="MDPI42tablebody"/>
              <w:jc w:val="center"/>
            </w:pPr>
            <w:r>
              <w:t xml:space="preserve">10.45</w:t>
            </w:r>
          </w:p>
        </w:tc>
        <w:tc>
          <w:tcPr>
            <w:vAlign w:val="center"/>
          </w:tcPr>
          <w:p>
            <w:pPr>
              <w:pStyle w:val="MDPI42tablebody"/>
              <w:jc w:val="center"/>
            </w:pPr>
            <w:r>
              <w:t xml:space="preserve">0.0200</w:t>
            </w:r>
          </w:p>
        </w:tc>
        <w:tc>
          <w:tcPr>
            <w:vAlign w:val="center"/>
          </w:tcPr>
          <w:p>
            <w:pPr>
              <w:pStyle w:val="MDPI42tablebody"/>
              <w:jc w:val="center"/>
            </w:pPr>
            <w:r>
              <w:t xml:space="preserve">—</w:t>
            </w:r>
          </w:p>
        </w:tc>
        <w:tc>
          <w:tcPr>
            <w:vAlign w:val="center"/>
          </w:tcPr>
          <w:p>
            <w:pPr>
              <w:pStyle w:val="MDPI42tablebody"/>
              <w:jc w:val="center"/>
            </w:pPr>
            <w:r>
              <w:t xml:space="preserve">—</w:t>
            </w:r>
          </w:p>
        </w:tc>
      </w:tr>
      <w:tr>
        <w:trPr>
          <w:cantSplit/>
        </w:trPr>
        <w:tc>
          <w:tcPr>
            <w:vAlign w:val="center"/>
          </w:tcPr>
          <w:p>
            <w:pPr>
              <w:pStyle w:val="MDPI42tablebody"/>
              <w:jc w:val="center"/>
            </w:pPr>
            <w:r>
              <w:rPr>
                <w:rStyle w:val="VerbatimChar"/>
              </w:rPr>
              <w:t xml:space="preserve">phys</w:t>
            </w:r>
          </w:p>
        </w:tc>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53.43</w:t>
            </w:r>
          </w:p>
        </w:tc>
        <w:tc>
          <w:tcPr>
            <w:vAlign w:val="center"/>
          </w:tcPr>
          <w:p>
            <w:pPr>
              <w:pStyle w:val="MDPI42tablebody"/>
              <w:jc w:val="center"/>
            </w:pPr>
            <w:r>
              <w:t xml:space="preserve">24.49</w:t>
            </w:r>
          </w:p>
        </w:tc>
        <w:tc>
          <w:tcPr>
            <w:vAlign w:val="center"/>
          </w:tcPr>
          <w:p>
            <w:pPr>
              <w:pStyle w:val="MDPI42tablebody"/>
              <w:jc w:val="center"/>
            </w:pPr>
            <w:r>
              <w:t xml:space="preserve">0.0750</w:t>
            </w:r>
          </w:p>
        </w:tc>
        <w:tc>
          <w:tcPr>
            <w:vAlign w:val="center"/>
          </w:tcPr>
          <w:p>
            <w:pPr>
              <w:pStyle w:val="MDPI42tablebody"/>
              <w:jc w:val="center"/>
            </w:pPr>
            <w:r>
              <w:t xml:space="preserve">0.55</w:t>
            </w:r>
          </w:p>
        </w:tc>
        <w:tc>
          <w:tcPr>
            <w:vAlign w:val="center"/>
          </w:tcPr>
          <w:p>
            <w:pPr>
              <w:pStyle w:val="MDPI42tablebody"/>
              <w:jc w:val="center"/>
            </w:pPr>
            <m:oMath>
              <m:r>
                <m:rPr>
                  <m:sty m:val="p"/>
                </m:rPr>
                <m:t>+</m:t>
              </m:r>
              <m:r>
                <m:t>2.48</m:t>
              </m:r>
              <m:r>
                <m:rPr>
                  <m:sty m:val="p"/>
                </m:rPr>
                <m:t>±</m:t>
              </m:r>
              <m:r>
                <m:t>3.62</m:t>
              </m:r>
            </m:oMath>
            <w:r>
              <w:t xml:space="preserve">​</w:t>
            </w:r>
          </w:p>
        </w:tc>
      </w:tr>
      <w:tr>
        <w:trPr>
          <w:cantSplit/>
        </w:trPr>
        <w:tc>
          <w:tcPr>
            <w:vAlign w:val="center"/>
          </w:tcPr>
          <w:p>
            <w:pPr>
              <w:pStyle w:val="MDPI42tablebody"/>
              <w:jc w:val="center"/>
            </w:pPr>
            <w:r>
              <w:rPr>
                <w:rStyle w:val="VerbatimChar"/>
              </w:rPr>
              <w:t xml:space="preserve">p_ntb</w:t>
            </w:r>
          </w:p>
        </w:tc>
        <w:tc>
          <w:tcPr>
            <w:vAlign w:val="center"/>
          </w:tcPr>
          <w:p>
            <w:pPr>
              <w:pStyle w:val="MDPI42tablebody"/>
              <w:jc w:val="center"/>
            </w:pPr>
            <w:r>
              <w:rPr>
                <w:rStyle w:val="VerbatimChar"/>
              </w:rPr>
              <w:t xml:space="preserve">sindy_mpc_notuboil</w:t>
            </w:r>
          </w:p>
        </w:tc>
        <w:tc>
          <w:tcPr>
            <w:vAlign w:val="center"/>
          </w:tcPr>
          <w:p>
            <w:pPr>
              <w:pStyle w:val="MDPI42tablebody"/>
              <w:jc w:val="center"/>
            </w:pPr>
            <w:r>
              <w:t xml:space="preserve">52.28</w:t>
            </w:r>
          </w:p>
        </w:tc>
        <w:tc>
          <w:tcPr>
            <w:vAlign w:val="center"/>
          </w:tcPr>
          <w:p>
            <w:pPr>
              <w:pStyle w:val="MDPI42tablebody"/>
              <w:jc w:val="center"/>
            </w:pPr>
            <w:r>
              <w:t xml:space="preserve">23.58</w:t>
            </w:r>
          </w:p>
        </w:tc>
        <w:tc>
          <w:tcPr>
            <w:vAlign w:val="center"/>
          </w:tcPr>
          <w:p>
            <w:pPr>
              <w:pStyle w:val="MDPI42tablebody"/>
              <w:jc w:val="center"/>
            </w:pPr>
            <w:r>
              <w:t xml:space="preserve">0.0783</w:t>
            </w:r>
          </w:p>
        </w:tc>
        <w:tc>
          <w:tcPr>
            <w:vAlign w:val="center"/>
          </w:tcPr>
          <w:p>
            <w:pPr>
              <w:pStyle w:val="MDPI42tablebody"/>
              <w:jc w:val="center"/>
            </w:pPr>
            <w:r>
              <w:t xml:space="preserve">0.40</w:t>
            </w:r>
          </w:p>
        </w:tc>
        <w:tc>
          <w:tcPr>
            <w:vAlign w:val="center"/>
          </w:tcPr>
          <w:p>
            <w:pPr>
              <w:pStyle w:val="MDPI42tablebody"/>
              <w:jc w:val="center"/>
            </w:pPr>
            <m:oMath>
              <m:r>
                <m:rPr>
                  <m:sty m:val="p"/>
                </m:rPr>
                <m:t>+</m:t>
              </m:r>
              <m:r>
                <m:t>2.28</m:t>
              </m:r>
              <m:r>
                <m:rPr>
                  <m:sty m:val="p"/>
                </m:rPr>
                <m:t>±</m:t>
              </m:r>
              <m:r>
                <m:t>3.55</m:t>
              </m:r>
            </m:oMath>
            <w:r>
              <w:t xml:space="preserve">​</w:t>
            </w:r>
          </w:p>
        </w:tc>
      </w:tr>
    </w:tbl>
    <w:bookmarkEnd w:id="57"/>
    <w:p>
      <w:pPr>
        <w:pStyle w:val="MDPI31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8" w:name="tab:lambda"/>
    <w:p>
      <w:pPr>
        <w:pStyle w:val="MDPI41tablecaption"/>
        <w:keepNext/>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dxa" w:w="792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320"/>
        <w:gridCol w:w="1320"/>
        <w:gridCol w:w="1320"/>
        <w:gridCol w:w="1320"/>
        <w:gridCol w:w="1320"/>
        <w:gridCol w:w="1320"/>
      </w:tblGrid>
      <w:tr>
        <w:trPr>
          <w:tblHeader w:val="on"/>
          <w:cantSplit/>
        </w:trPr>
        <w:tc>
          <w:tcPr>
            <w:vAlign w:val="center"/>
            <w:tcBorders>
              <w:bottom w:val="single" w:sz="8" w:space="0" w:color="000000"/>
            </w:tcBorders>
          </w:tcPr>
          <w:p>
            <w:pPr>
              <w:pStyle w:val="MDPI42tablebody"/>
              <w:jc w:val="center"/>
            </w:pPr>
            <m:oMath>
              <m:r>
                <m:t>λ</m:t>
              </m:r>
            </m:oMath>
            <w:r>
              <w:rPr>
                <w:b/>
              </w:rPr>
              <w:t xml:space="preserve">​</w:t>
            </w:r>
          </w:p>
        </w:tc>
        <w:tc>
          <w:tcPr>
            <w:vAlign w:val="center"/>
            <w:tcBorders>
              <w:bottom w:val="single" w:sz="8" w:space="0" w:color="000000"/>
            </w:tcBorders>
          </w:tcPr>
          <w:p>
            <w:pPr>
              <w:pStyle w:val="MDPI42tablebody"/>
              <w:jc w:val="center"/>
            </w:pPr>
            <w:r>
              <w:rPr>
                <w:b/>
              </w:rPr>
              <w:t xml:space="preserve">Active terms</w:t>
            </w:r>
          </w:p>
        </w:tc>
        <w:tc>
          <w:tcPr>
            <w:vAlign w:val="center"/>
            <w:tcBorders>
              <w:bottom w:val="single" w:sz="8" w:space="0" w:color="000000"/>
            </w:tcBorders>
          </w:tcPr>
          <w:p>
            <w:pPr>
              <w:pStyle w:val="MDPI42tablebody"/>
              <w:jc w:val="center"/>
            </w:pPr>
            <m:oMath>
              <m:r>
                <m:t>ξ</m:t>
              </m:r>
            </m:oMath>
            <w:r>
              <w:rPr>
                <w:b/>
              </w:rPr>
              <w:t xml:space="preserve"> </w:t>
            </w:r>
            <w:r>
              <w:rPr>
                <w:b/>
              </w:rPr>
              <w:t xml:space="preserve">survival</w:t>
            </w:r>
          </w:p>
        </w:tc>
        <w:tc>
          <w:tcPr>
            <w:vAlign w:val="center"/>
            <w:tcBorders>
              <w:bottom w:val="single" w:sz="8" w:space="0" w:color="000000"/>
            </w:tcBorders>
          </w:tcPr>
          <w:p>
            <w:pPr>
              <w:pStyle w:val="MDPI42tablebody"/>
              <w:jc w:val="center"/>
            </w:pPr>
            <w:r>
              <w:rPr>
                <w:b/>
              </w:rPr>
              <w:t xml:space="preserve">EPI (priced)</w:t>
            </w:r>
          </w:p>
        </w:tc>
        <w:tc>
          <w:tcPr>
            <w:vAlign w:val="center"/>
            <w:tcBorders>
              <w:bottom w:val="single" w:sz="8" w:space="0" w:color="000000"/>
            </w:tcBorders>
          </w:tcPr>
          <w:p>
            <w:pPr>
              <w:pStyle w:val="MDPI42tablebody"/>
              <w:jc w:val="center"/>
            </w:pPr>
            <w:r>
              <w:rPr>
                <w:b/>
              </w:rPr>
              <w:t xml:space="preserve">EPI (original)</w:t>
            </w:r>
          </w:p>
        </w:tc>
        <w:tc>
          <w:tcPr>
            <w:vAlign w:val="center"/>
            <w:tcBorders>
              <w:bottom w:val="single" w:sz="8" w:space="0" w:color="000000"/>
            </w:tcBorders>
          </w:tcPr>
          <w:p>
            <w:pPr>
              <w:pStyle w:val="MDPI42tablebody"/>
              <w:jc w:val="center"/>
            </w:pPr>
            <m:oMath>
              <m:r>
                <m:rPr>
                  <m:sty m:val="p"/>
                </m:rPr>
                <m:t>Δ</m:t>
              </m:r>
            </m:oMath>
            <w:r>
              <w:rPr>
                <w:b/>
              </w:rPr>
              <w:t xml:space="preserve">​</w:t>
            </w:r>
          </w:p>
        </w:tc>
      </w:tr>
      <w:tr>
        <w:trPr>
          <w:cantSplit/>
        </w:trPr>
        <w:tc>
          <w:tcPr>
            <w:vAlign w:val="center"/>
          </w:tcPr>
          <w:p>
            <w:pPr>
              <w:pStyle w:val="MDPI42tablebody"/>
              <w:jc w:val="center"/>
            </w:pPr>
            <m:oMath>
              <m:sSup>
                <m:e>
                  <m:r>
                    <m:t>10</m:t>
                  </m:r>
                </m:e>
                <m:sup>
                  <m:r>
                    <m:rPr>
                      <m:sty m:val="p"/>
                    </m:rPr>
                    <m:t>−</m:t>
                  </m:r>
                  <m:r>
                    <m:t>6</m:t>
                  </m:r>
                </m:sup>
              </m:sSup>
            </m:oMath>
            <w:r>
              <w:t xml:space="preserve">​</w:t>
            </w:r>
          </w:p>
        </w:tc>
        <w:tc>
          <w:tcPr>
            <w:vAlign w:val="center"/>
          </w:tcPr>
          <w:p>
            <w:pPr>
              <w:pStyle w:val="MDPI42tablebody"/>
              <w:jc w:val="center"/>
            </w:pPr>
            <w:r>
              <w:t xml:space="preserve">53.95</w:t>
            </w:r>
          </w:p>
        </w:tc>
        <w:tc>
          <w:tcPr>
            <w:vAlign w:val="center"/>
          </w:tcPr>
          <w:p>
            <w:pPr>
              <w:pStyle w:val="MDPI42tablebody"/>
              <w:jc w:val="center"/>
            </w:pPr>
            <w:r>
              <w:t xml:space="preserve">1.00</w:t>
            </w:r>
          </w:p>
        </w:tc>
        <w:tc>
          <w:tcPr>
            <w:vAlign w:val="center"/>
          </w:tcPr>
          <w:p>
            <w:pPr>
              <w:pStyle w:val="MDPI42tablebody"/>
              <w:jc w:val="center"/>
            </w:pPr>
            <m:oMath>
              <m:r>
                <m:t>6.58</m:t>
              </m:r>
              <m:r>
                <m:rPr>
                  <m:sty m:val="p"/>
                </m:rPr>
                <m:t>±</m:t>
              </m:r>
              <m:r>
                <m:t>1.25</m:t>
              </m:r>
            </m:oMath>
            <w:r>
              <w:t xml:space="preserve">​</w:t>
            </w:r>
          </w:p>
        </w:tc>
        <w:tc>
          <w:tcPr>
            <w:vAlign w:val="center"/>
          </w:tcPr>
          <w:p>
            <w:pPr>
              <w:pStyle w:val="MDPI42tablebody"/>
              <w:jc w:val="center"/>
            </w:pPr>
            <m:oMath>
              <m:r>
                <m:t>3.68</m:t>
              </m:r>
              <m:r>
                <m:rPr>
                  <m:sty m:val="p"/>
                </m:rPr>
                <m:t>±</m:t>
              </m:r>
              <m:r>
                <m:t>1.85</m:t>
              </m:r>
            </m:oMath>
            <w:r>
              <w:t xml:space="preserve">​</w:t>
            </w:r>
          </w:p>
        </w:tc>
        <w:tc>
          <w:tcPr>
            <w:vAlign w:val="center"/>
          </w:tcPr>
          <w:p>
            <w:pPr>
              <w:pStyle w:val="MDPI42tablebody"/>
              <w:jc w:val="center"/>
            </w:pPr>
            <m:oMath>
              <m:r>
                <m:rPr>
                  <m:sty m:val="p"/>
                </m:rPr>
                <m:t>+</m:t>
              </m:r>
              <m:r>
                <m:t>2.90</m:t>
              </m:r>
            </m:oMath>
            <w:r>
              <w:t xml:space="preserve">​</w:t>
            </w:r>
          </w:p>
        </w:tc>
      </w:tr>
      <w:tr>
        <w:trPr>
          <w:cantSplit/>
        </w:trPr>
        <w:tc>
          <w:tcPr>
            <w:vAlign w:val="center"/>
          </w:tcPr>
          <w:p>
            <w:pPr>
              <w:pStyle w:val="MDPI42tablebody"/>
              <w:jc w:val="center"/>
            </w:pPr>
            <m:oMath>
              <m:sSup>
                <m:e>
                  <m:r>
                    <m:t>10</m:t>
                  </m:r>
                </m:e>
                <m:sup>
                  <m:r>
                    <m:rPr>
                      <m:sty m:val="p"/>
                    </m:rPr>
                    <m:t>−</m:t>
                  </m:r>
                  <m:r>
                    <m:t>3</m:t>
                  </m:r>
                </m:sup>
              </m:sSup>
            </m:oMath>
            <w:r>
              <w:t xml:space="preserve">​</w:t>
            </w:r>
          </w:p>
        </w:tc>
        <w:tc>
          <w:tcPr>
            <w:vAlign w:val="center"/>
          </w:tcPr>
          <w:p>
            <w:pPr>
              <w:pStyle w:val="MDPI42tablebody"/>
              <w:jc w:val="center"/>
            </w:pPr>
            <w:r>
              <w:t xml:space="preserve">49.60</w:t>
            </w:r>
          </w:p>
        </w:tc>
        <w:tc>
          <w:tcPr>
            <w:vAlign w:val="center"/>
          </w:tcPr>
          <w:p>
            <w:pPr>
              <w:pStyle w:val="MDPI42tablebody"/>
              <w:jc w:val="center"/>
            </w:pPr>
            <w:r>
              <w:t xml:space="preserve">1.00</w:t>
            </w:r>
          </w:p>
        </w:tc>
        <w:tc>
          <w:tcPr>
            <w:vAlign w:val="center"/>
          </w:tcPr>
          <w:p>
            <w:pPr>
              <w:pStyle w:val="MDPI42tablebody"/>
              <w:jc w:val="center"/>
            </w:pPr>
            <m:oMath>
              <m:r>
                <m:t>6.58</m:t>
              </m:r>
              <m:r>
                <m:rPr>
                  <m:sty m:val="p"/>
                </m:rPr>
                <m:t>±</m:t>
              </m:r>
              <m:r>
                <m:t>1.23</m:t>
              </m:r>
            </m:oMath>
            <w:r>
              <w:t xml:space="preserve">​</w:t>
            </w:r>
          </w:p>
        </w:tc>
        <w:tc>
          <w:tcPr>
            <w:vAlign w:val="center"/>
          </w:tcPr>
          <w:p>
            <w:pPr>
              <w:pStyle w:val="MDPI42tablebody"/>
              <w:jc w:val="center"/>
            </w:pPr>
            <m:oMath>
              <m:r>
                <m:t>3.63</m:t>
              </m:r>
              <m:r>
                <m:rPr>
                  <m:sty m:val="p"/>
                </m:rPr>
                <m:t>±</m:t>
              </m:r>
              <m:r>
                <m:t>1.93</m:t>
              </m:r>
            </m:oMath>
            <w:r>
              <w:t xml:space="preserve">​</w:t>
            </w:r>
          </w:p>
        </w:tc>
        <w:tc>
          <w:tcPr>
            <w:vAlign w:val="center"/>
          </w:tcPr>
          <w:p>
            <w:pPr>
              <w:pStyle w:val="MDPI42tablebody"/>
              <w:jc w:val="center"/>
            </w:pPr>
            <m:oMath>
              <m:r>
                <m:rPr>
                  <m:sty m:val="p"/>
                </m:rPr>
                <m:t>+</m:t>
              </m:r>
              <m:r>
                <m:t>2.95</m:t>
              </m:r>
            </m:oMath>
            <w:r>
              <w:t xml:space="preserve">​</w:t>
            </w:r>
          </w:p>
        </w:tc>
      </w:tr>
      <w:tr>
        <w:trPr>
          <w:cantSplit/>
        </w:trPr>
        <w:tc>
          <w:tcPr>
            <w:vAlign w:val="center"/>
          </w:tcPr>
          <w:p>
            <w:pPr>
              <w:pStyle w:val="MDPI42tablebody"/>
              <w:jc w:val="center"/>
            </w:pPr>
            <w:r>
              <w:t xml:space="preserve">0.01</w:t>
            </w:r>
          </w:p>
        </w:tc>
        <w:tc>
          <w:tcPr>
            <w:vAlign w:val="center"/>
          </w:tcPr>
          <w:p>
            <w:pPr>
              <w:pStyle w:val="MDPI42tablebody"/>
              <w:jc w:val="center"/>
            </w:pPr>
            <w:r>
              <w:t xml:space="preserve">42.65</w:t>
            </w:r>
          </w:p>
        </w:tc>
        <w:tc>
          <w:tcPr>
            <w:vAlign w:val="center"/>
          </w:tcPr>
          <w:p>
            <w:pPr>
              <w:pStyle w:val="MDPI42tablebody"/>
              <w:jc w:val="center"/>
            </w:pPr>
            <w:r>
              <w:t xml:space="preserve">1.00</w:t>
            </w:r>
          </w:p>
        </w:tc>
        <w:tc>
          <w:tcPr>
            <w:vAlign w:val="center"/>
          </w:tcPr>
          <w:p>
            <w:pPr>
              <w:pStyle w:val="MDPI42tablebody"/>
              <w:jc w:val="center"/>
            </w:pPr>
            <m:oMath>
              <m:r>
                <m:t>6.11</m:t>
              </m:r>
              <m:r>
                <m:rPr>
                  <m:sty m:val="p"/>
                </m:rPr>
                <m:t>±</m:t>
              </m:r>
              <m:r>
                <m:t>2.52</m:t>
              </m:r>
            </m:oMath>
            <w:r>
              <w:t xml:space="preserve">​</w:t>
            </w:r>
          </w:p>
        </w:tc>
        <w:tc>
          <w:tcPr>
            <w:vAlign w:val="center"/>
          </w:tcPr>
          <w:p>
            <w:pPr>
              <w:pStyle w:val="MDPI42tablebody"/>
              <w:jc w:val="center"/>
            </w:pPr>
            <m:oMath>
              <m:r>
                <m:t>3.21</m:t>
              </m:r>
              <m:r>
                <m:rPr>
                  <m:sty m:val="p"/>
                </m:rPr>
                <m:t>±</m:t>
              </m:r>
              <m:r>
                <m:t>3.25</m:t>
              </m:r>
            </m:oMath>
            <w:r>
              <w:t xml:space="preserve">​</w:t>
            </w:r>
          </w:p>
        </w:tc>
        <w:tc>
          <w:tcPr>
            <w:vAlign w:val="center"/>
          </w:tcPr>
          <w:p>
            <w:pPr>
              <w:pStyle w:val="MDPI42tablebody"/>
              <w:jc w:val="center"/>
            </w:pPr>
            <m:oMath>
              <m:r>
                <m:rPr>
                  <m:sty m:val="p"/>
                </m:rPr>
                <m:t>+</m:t>
              </m:r>
              <m:r>
                <m:t>2.90</m:t>
              </m:r>
            </m:oMath>
            <w:r>
              <w:t xml:space="preserve">​</w:t>
            </w:r>
          </w:p>
        </w:tc>
      </w:tr>
      <w:tr>
        <w:trPr>
          <w:cantSplit/>
        </w:trPr>
        <w:tc>
          <w:tcPr>
            <w:vAlign w:val="center"/>
          </w:tcPr>
          <w:p>
            <w:pPr>
              <w:pStyle w:val="MDPI42tablebody"/>
              <w:jc w:val="center"/>
            </w:pPr>
            <w:r>
              <w:t xml:space="preserve">0.02</w:t>
            </w:r>
          </w:p>
        </w:tc>
        <w:tc>
          <w:tcPr>
            <w:vAlign w:val="center"/>
          </w:tcPr>
          <w:p>
            <w:pPr>
              <w:pStyle w:val="MDPI42tablebody"/>
              <w:jc w:val="center"/>
            </w:pPr>
            <w:r>
              <w:t xml:space="preserve">38.80</w:t>
            </w:r>
          </w:p>
        </w:tc>
        <w:tc>
          <w:tcPr>
            <w:vAlign w:val="center"/>
          </w:tcPr>
          <w:p>
            <w:pPr>
              <w:pStyle w:val="MDPI42tablebody"/>
              <w:jc w:val="center"/>
            </w:pPr>
            <w:r>
              <w:t xml:space="preserve">1.00</w:t>
            </w:r>
          </w:p>
        </w:tc>
        <w:tc>
          <w:tcPr>
            <w:vAlign w:val="center"/>
          </w:tcPr>
          <w:p>
            <w:pPr>
              <w:pStyle w:val="MDPI42tablebody"/>
              <w:jc w:val="center"/>
            </w:pPr>
            <m:oMath>
              <m:r>
                <m:t>6.38</m:t>
              </m:r>
              <m:r>
                <m:rPr>
                  <m:sty m:val="p"/>
                </m:rPr>
                <m:t>±</m:t>
              </m:r>
              <m:r>
                <m:t>2.01</m:t>
              </m:r>
            </m:oMath>
            <w:r>
              <w:t xml:space="preserve">​</w:t>
            </w:r>
          </w:p>
        </w:tc>
        <w:tc>
          <w:tcPr>
            <w:vAlign w:val="center"/>
          </w:tcPr>
          <w:p>
            <w:pPr>
              <w:pStyle w:val="MDPI42tablebody"/>
              <w:jc w:val="center"/>
            </w:pPr>
            <m:oMath>
              <m:r>
                <m:t>4.39</m:t>
              </m:r>
              <m:r>
                <m:rPr>
                  <m:sty m:val="p"/>
                </m:rPr>
                <m:t>±</m:t>
              </m:r>
              <m:r>
                <m:t>1.47</m:t>
              </m:r>
            </m:oMath>
            <w:r>
              <w:t xml:space="preserve">​</w:t>
            </w:r>
          </w:p>
        </w:tc>
        <w:tc>
          <w:tcPr>
            <w:vAlign w:val="center"/>
          </w:tcPr>
          <w:p>
            <w:pPr>
              <w:pStyle w:val="MDPI42tablebody"/>
              <w:jc w:val="center"/>
            </w:pPr>
            <m:oMath>
              <m:r>
                <m:rPr>
                  <m:sty m:val="p"/>
                </m:rPr>
                <m:t>+</m:t>
              </m:r>
              <m:r>
                <m:t>1.99</m:t>
              </m:r>
            </m:oMath>
            <w:r>
              <w:t xml:space="preserve">​</w:t>
            </w:r>
          </w:p>
        </w:tc>
      </w:tr>
      <w:tr>
        <w:trPr>
          <w:cantSplit/>
        </w:trPr>
        <w:tc>
          <w:tcPr>
            <w:vAlign w:val="center"/>
          </w:tcPr>
          <w:p>
            <w:pPr>
              <w:pStyle w:val="MDPI42tablebody"/>
              <w:jc w:val="center"/>
            </w:pPr>
            <w:r>
              <w:t xml:space="preserve">0.03</w:t>
            </w:r>
          </w:p>
        </w:tc>
        <w:tc>
          <w:tcPr>
            <w:vAlign w:val="center"/>
          </w:tcPr>
          <w:p>
            <w:pPr>
              <w:pStyle w:val="MDPI42tablebody"/>
              <w:jc w:val="center"/>
            </w:pPr>
            <w:r>
              <w:t xml:space="preserve">36.10</w:t>
            </w:r>
          </w:p>
        </w:tc>
        <w:tc>
          <w:tcPr>
            <w:vAlign w:val="center"/>
          </w:tcPr>
          <w:p>
            <w:pPr>
              <w:pStyle w:val="MDPI42tablebody"/>
              <w:jc w:val="center"/>
            </w:pPr>
            <w:r>
              <w:t xml:space="preserve">0.95</w:t>
            </w:r>
          </w:p>
        </w:tc>
        <w:tc>
          <w:tcPr>
            <w:vAlign w:val="center"/>
          </w:tcPr>
          <w:p>
            <w:pPr>
              <w:pStyle w:val="MDPI42tablebody"/>
              <w:jc w:val="center"/>
            </w:pPr>
            <m:oMath>
              <m:r>
                <m:t>6.41</m:t>
              </m:r>
              <m:r>
                <m:rPr>
                  <m:sty m:val="p"/>
                </m:rPr>
                <m:t>±</m:t>
              </m:r>
              <m:r>
                <m:t>1.82</m:t>
              </m:r>
            </m:oMath>
            <w:r>
              <w:t xml:space="preserve">​</w:t>
            </w:r>
          </w:p>
        </w:tc>
        <w:tc>
          <w:tcPr>
            <w:vAlign w:val="center"/>
          </w:tcPr>
          <w:p>
            <w:pPr>
              <w:pStyle w:val="MDPI42tablebody"/>
              <w:jc w:val="center"/>
            </w:pPr>
            <m:oMath>
              <m:r>
                <m:t>4.98</m:t>
              </m:r>
              <m:r>
                <m:rPr>
                  <m:sty m:val="p"/>
                </m:rPr>
                <m:t>±</m:t>
              </m:r>
              <m:r>
                <m:t>1.76</m:t>
              </m:r>
            </m:oMath>
            <w:r>
              <w:t xml:space="preserve">​</w:t>
            </w:r>
          </w:p>
        </w:tc>
        <w:tc>
          <w:tcPr>
            <w:vAlign w:val="center"/>
          </w:tcPr>
          <w:p>
            <w:pPr>
              <w:pStyle w:val="MDPI42tablebody"/>
              <w:jc w:val="center"/>
            </w:pPr>
            <m:oMath>
              <m:r>
                <m:rPr>
                  <m:sty m:val="p"/>
                </m:rPr>
                <m:t>+</m:t>
              </m:r>
              <m:r>
                <m:t>1.43</m:t>
              </m:r>
            </m:oMath>
            <w:r>
              <w:t xml:space="preserve">​</w:t>
            </w:r>
          </w:p>
        </w:tc>
      </w:tr>
      <w:tr>
        <w:trPr>
          <w:cantSplit/>
        </w:trPr>
        <w:tc>
          <w:tcPr>
            <w:vAlign w:val="center"/>
          </w:tcPr>
          <w:p>
            <w:pPr>
              <w:pStyle w:val="MDPI42tablebody"/>
              <w:jc w:val="center"/>
            </w:pPr>
            <w:r>
              <w:t xml:space="preserve">0.04</w:t>
            </w:r>
          </w:p>
        </w:tc>
        <w:tc>
          <w:tcPr>
            <w:vAlign w:val="center"/>
          </w:tcPr>
          <w:p>
            <w:pPr>
              <w:pStyle w:val="MDPI42tablebody"/>
              <w:jc w:val="center"/>
            </w:pPr>
            <w:r>
              <w:t xml:space="preserve">32.15</w:t>
            </w:r>
          </w:p>
        </w:tc>
        <w:tc>
          <w:tcPr>
            <w:vAlign w:val="center"/>
          </w:tcPr>
          <w:p>
            <w:pPr>
              <w:pStyle w:val="MDPI42tablebody"/>
              <w:jc w:val="center"/>
            </w:pPr>
            <w:r>
              <w:t xml:space="preserve">0.35</w:t>
            </w:r>
          </w:p>
        </w:tc>
        <w:tc>
          <w:tcPr>
            <w:vAlign w:val="center"/>
          </w:tcPr>
          <w:p>
            <w:pPr>
              <w:pStyle w:val="MDPI42tablebody"/>
              <w:jc w:val="center"/>
            </w:pPr>
            <m:oMath>
              <m:r>
                <m:t>4.30</m:t>
              </m:r>
              <m:r>
                <m:rPr>
                  <m:sty m:val="p"/>
                </m:rPr>
                <m:t>±</m:t>
              </m:r>
              <m:r>
                <m:t>3.51</m:t>
              </m:r>
            </m:oMath>
            <w:r>
              <w:t xml:space="preserve">​</w:t>
            </w:r>
          </w:p>
        </w:tc>
        <w:tc>
          <w:tcPr>
            <w:vAlign w:val="center"/>
          </w:tcPr>
          <w:p>
            <w:pPr>
              <w:pStyle w:val="MDPI42tablebody"/>
              <w:jc w:val="center"/>
            </w:pPr>
            <m:oMath>
              <m:r>
                <m:t>2.76</m:t>
              </m:r>
              <m:r>
                <m:rPr>
                  <m:sty m:val="p"/>
                </m:rPr>
                <m:t>±</m:t>
              </m:r>
              <m:r>
                <m:t>3.84</m:t>
              </m:r>
            </m:oMath>
            <w:r>
              <w:t xml:space="preserve">​</w:t>
            </w:r>
          </w:p>
        </w:tc>
        <w:tc>
          <w:tcPr>
            <w:vAlign w:val="center"/>
          </w:tcPr>
          <w:p>
            <w:pPr>
              <w:pStyle w:val="MDPI42tablebody"/>
              <w:jc w:val="center"/>
            </w:pPr>
            <m:oMath>
              <m:r>
                <m:rPr>
                  <m:sty m:val="p"/>
                </m:rPr>
                <m:t>+</m:t>
              </m:r>
              <m:r>
                <m:t>1.54</m:t>
              </m:r>
            </m:oMath>
            <w:r>
              <w:t xml:space="preserve">​</w:t>
            </w:r>
          </w:p>
        </w:tc>
      </w:tr>
      <w:tr>
        <w:trPr>
          <w:cantSplit/>
        </w:trPr>
        <w:tc>
          <w:tcPr>
            <w:vAlign w:val="center"/>
          </w:tcPr>
          <w:p>
            <w:pPr>
              <w:pStyle w:val="MDPI42tablebody"/>
              <w:jc w:val="center"/>
            </w:pPr>
            <w:r>
              <w:t xml:space="preserve">0.05</w:t>
            </w:r>
          </w:p>
        </w:tc>
        <w:tc>
          <w:tcPr>
            <w:vAlign w:val="center"/>
          </w:tcPr>
          <w:p>
            <w:pPr>
              <w:pStyle w:val="MDPI42tablebody"/>
              <w:jc w:val="center"/>
            </w:pPr>
            <w:r>
              <w:t xml:space="preserve">28.10</w:t>
            </w:r>
          </w:p>
        </w:tc>
        <w:tc>
          <w:tcPr>
            <w:vAlign w:val="center"/>
          </w:tcPr>
          <w:p>
            <w:pPr>
              <w:pStyle w:val="MDPI42tablebody"/>
              <w:jc w:val="center"/>
            </w:pPr>
            <w:r>
              <w:t xml:space="preserve">0.10</w:t>
            </w:r>
          </w:p>
        </w:tc>
        <w:tc>
          <w:tcPr>
            <w:vAlign w:val="center"/>
          </w:tcPr>
          <w:p>
            <w:pPr>
              <w:pStyle w:val="MDPI42tablebody"/>
              <w:jc w:val="center"/>
            </w:pPr>
            <m:oMath>
              <m:r>
                <m:t>4.04</m:t>
              </m:r>
              <m:r>
                <m:rPr>
                  <m:sty m:val="p"/>
                </m:rPr>
                <m:t>±</m:t>
              </m:r>
              <m:r>
                <m:t>4.14</m:t>
              </m:r>
            </m:oMath>
            <w:r>
              <w:t xml:space="preserve">​</w:t>
            </w:r>
          </w:p>
        </w:tc>
        <w:tc>
          <w:tcPr>
            <w:vAlign w:val="center"/>
          </w:tcPr>
          <w:p>
            <w:pPr>
              <w:pStyle w:val="MDPI42tablebody"/>
              <w:jc w:val="center"/>
            </w:pPr>
            <m:oMath>
              <m:r>
                <m:t>1.59</m:t>
              </m:r>
              <m:r>
                <m:rPr>
                  <m:sty m:val="p"/>
                </m:rPr>
                <m:t>±</m:t>
              </m:r>
              <m:r>
                <m:t>5.59</m:t>
              </m:r>
            </m:oMath>
            <w:r>
              <w:t xml:space="preserve">​</w:t>
            </w:r>
          </w:p>
        </w:tc>
        <w:tc>
          <w:tcPr>
            <w:vAlign w:val="center"/>
          </w:tcPr>
          <w:p>
            <w:pPr>
              <w:pStyle w:val="MDPI42tablebody"/>
              <w:jc w:val="center"/>
            </w:pPr>
            <m:oMath>
              <m:r>
                <m:rPr>
                  <m:sty m:val="p"/>
                </m:rPr>
                <m:t>+</m:t>
              </m:r>
              <m:r>
                <m:t>2.45</m:t>
              </m:r>
            </m:oMath>
            <w:r>
              <w:t xml:space="preserve">​</w:t>
            </w:r>
          </w:p>
        </w:tc>
      </w:tr>
      <w:tr>
        <w:trPr>
          <w:cantSplit/>
        </w:trPr>
        <w:tc>
          <w:tcPr>
            <w:vAlign w:val="center"/>
          </w:tcPr>
          <w:p>
            <w:pPr>
              <w:pStyle w:val="MDPI42tablebody"/>
              <w:jc w:val="center"/>
            </w:pPr>
            <w:r>
              <w:t xml:space="preserve">0.06</w:t>
            </w:r>
          </w:p>
        </w:tc>
        <w:tc>
          <w:tcPr>
            <w:vAlign w:val="center"/>
          </w:tcPr>
          <w:p>
            <w:pPr>
              <w:pStyle w:val="MDPI42tablebody"/>
              <w:jc w:val="center"/>
            </w:pPr>
            <w:r>
              <w:t xml:space="preserve">25.45</w:t>
            </w:r>
          </w:p>
        </w:tc>
        <w:tc>
          <w:tcPr>
            <w:vAlign w:val="center"/>
          </w:tcPr>
          <w:p>
            <w:pPr>
              <w:pStyle w:val="MDPI42tablebody"/>
              <w:jc w:val="center"/>
            </w:pPr>
            <w:r>
              <w:t xml:space="preserve">0.00</w:t>
            </w:r>
          </w:p>
        </w:tc>
        <w:tc>
          <w:tcPr>
            <w:vAlign w:val="center"/>
          </w:tcPr>
          <w:p>
            <w:pPr>
              <w:pStyle w:val="MDPI42tablebody"/>
              <w:jc w:val="center"/>
            </w:pPr>
            <m:oMath>
              <m:r>
                <m:t>3.59</m:t>
              </m:r>
              <m:r>
                <m:rPr>
                  <m:sty m:val="p"/>
                </m:rPr>
                <m:t>±</m:t>
              </m:r>
              <m:r>
                <m:t>2.96</m:t>
              </m:r>
            </m:oMath>
            <w:r>
              <w:t xml:space="preserve">​</w:t>
            </w:r>
          </w:p>
        </w:tc>
        <w:tc>
          <w:tcPr>
            <w:vAlign w:val="center"/>
          </w:tcPr>
          <w:p>
            <w:pPr>
              <w:pStyle w:val="MDPI42tablebody"/>
              <w:jc w:val="center"/>
            </w:pPr>
            <m:oMath>
              <m:r>
                <m:t>2.58</m:t>
              </m:r>
              <m:r>
                <m:rPr>
                  <m:sty m:val="p"/>
                </m:rPr>
                <m:t>±</m:t>
              </m:r>
              <m:r>
                <m:t>4.63</m:t>
              </m:r>
            </m:oMath>
            <w:r>
              <w:t xml:space="preserve">​</w:t>
            </w:r>
          </w:p>
        </w:tc>
        <w:tc>
          <w:tcPr>
            <w:vAlign w:val="center"/>
          </w:tcPr>
          <w:p>
            <w:pPr>
              <w:pStyle w:val="MDPI42tablebody"/>
              <w:jc w:val="center"/>
            </w:pPr>
            <m:oMath>
              <m:r>
                <m:rPr>
                  <m:sty m:val="p"/>
                </m:rPr>
                <m:t>+</m:t>
              </m:r>
              <m:r>
                <m:t>1.01</m:t>
              </m:r>
            </m:oMath>
            <w:r>
              <w:t xml:space="preserve">​</w:t>
            </w:r>
          </w:p>
        </w:tc>
      </w:tr>
      <w:tr>
        <w:trPr>
          <w:cantSplit/>
        </w:trPr>
        <w:tc>
          <w:tcPr>
            <w:vAlign w:val="center"/>
          </w:tcPr>
          <w:p>
            <w:pPr>
              <w:pStyle w:val="MDPI42tablebody"/>
              <w:jc w:val="center"/>
            </w:pPr>
            <w:r>
              <w:t xml:space="preserve">0.07</w:t>
            </w:r>
          </w:p>
        </w:tc>
        <w:tc>
          <w:tcPr>
            <w:vAlign w:val="center"/>
          </w:tcPr>
          <w:p>
            <w:pPr>
              <w:pStyle w:val="MDPI42tablebody"/>
              <w:jc w:val="center"/>
            </w:pPr>
            <w:r>
              <w:t xml:space="preserve">23.05</w:t>
            </w:r>
          </w:p>
        </w:tc>
        <w:tc>
          <w:tcPr>
            <w:vAlign w:val="center"/>
          </w:tcPr>
          <w:p>
            <w:pPr>
              <w:pStyle w:val="MDPI42tablebody"/>
              <w:jc w:val="center"/>
            </w:pPr>
            <w:r>
              <w:t xml:space="preserve">0.00</w:t>
            </w:r>
          </w:p>
        </w:tc>
        <w:tc>
          <w:tcPr>
            <w:vAlign w:val="center"/>
          </w:tcPr>
          <w:p>
            <w:pPr>
              <w:pStyle w:val="MDPI42tablebody"/>
              <w:jc w:val="center"/>
            </w:pPr>
            <m:oMath>
              <m:r>
                <m:t>4.01</m:t>
              </m:r>
              <m:r>
                <m:rPr>
                  <m:sty m:val="p"/>
                </m:rPr>
                <m:t>±</m:t>
              </m:r>
              <m:r>
                <m:t>2.37</m:t>
              </m:r>
            </m:oMath>
            <w:r>
              <w:t xml:space="preserve">​</w:t>
            </w:r>
          </w:p>
        </w:tc>
        <w:tc>
          <w:tcPr>
            <w:vAlign w:val="center"/>
          </w:tcPr>
          <w:p>
            <w:pPr>
              <w:pStyle w:val="MDPI42tablebody"/>
              <w:jc w:val="center"/>
            </w:pPr>
            <m:oMath>
              <m:r>
                <m:t>3.67</m:t>
              </m:r>
              <m:r>
                <m:rPr>
                  <m:sty m:val="p"/>
                </m:rPr>
                <m:t>±</m:t>
              </m:r>
              <m:r>
                <m:t>2.62</m:t>
              </m:r>
            </m:oMath>
            <w:r>
              <w:t xml:space="preserve">​</w:t>
            </w:r>
          </w:p>
        </w:tc>
        <w:tc>
          <w:tcPr>
            <w:vAlign w:val="center"/>
          </w:tcPr>
          <w:p>
            <w:pPr>
              <w:pStyle w:val="MDPI42tablebody"/>
              <w:jc w:val="center"/>
            </w:pPr>
            <m:oMath>
              <m:r>
                <m:rPr>
                  <m:sty m:val="p"/>
                </m:rPr>
                <m:t>+</m:t>
              </m:r>
              <m:r>
                <m:t>0.34</m:t>
              </m:r>
            </m:oMath>
            <w:r>
              <w:t xml:space="preserve">​</w:t>
            </w:r>
          </w:p>
        </w:tc>
      </w:tr>
      <w:tr>
        <w:trPr>
          <w:cantSplit/>
        </w:trPr>
        <w:tc>
          <w:tcPr>
            <w:vAlign w:val="center"/>
          </w:tcPr>
          <w:p>
            <w:pPr>
              <w:pStyle w:val="MDPI42tablebody"/>
              <w:jc w:val="center"/>
            </w:pPr>
            <w:r>
              <w:t xml:space="preserve">0.08</w:t>
            </w:r>
          </w:p>
        </w:tc>
        <w:tc>
          <w:tcPr>
            <w:vAlign w:val="center"/>
          </w:tcPr>
          <w:p>
            <w:pPr>
              <w:pStyle w:val="MDPI42tablebody"/>
              <w:jc w:val="center"/>
            </w:pPr>
            <w:r>
              <w:t xml:space="preserve">21.30</w:t>
            </w:r>
          </w:p>
        </w:tc>
        <w:tc>
          <w:tcPr>
            <w:vAlign w:val="center"/>
          </w:tcPr>
          <w:p>
            <w:pPr>
              <w:pStyle w:val="MDPI42tablebody"/>
              <w:jc w:val="center"/>
            </w:pPr>
            <w:r>
              <w:t xml:space="preserve">0.00</w:t>
            </w:r>
          </w:p>
        </w:tc>
        <w:tc>
          <w:tcPr>
            <w:vAlign w:val="center"/>
          </w:tcPr>
          <w:p>
            <w:pPr>
              <w:pStyle w:val="MDPI42tablebody"/>
              <w:jc w:val="center"/>
            </w:pPr>
            <m:oMath>
              <m:r>
                <m:t>3.04</m:t>
              </m:r>
              <m:r>
                <m:rPr>
                  <m:sty m:val="p"/>
                </m:rPr>
                <m:t>±</m:t>
              </m:r>
              <m:r>
                <m:t>1.09</m:t>
              </m:r>
            </m:oMath>
            <w:r>
              <w:t xml:space="preserve">​</w:t>
            </w:r>
          </w:p>
        </w:tc>
        <w:tc>
          <w:tcPr>
            <w:vAlign w:val="center"/>
          </w:tcPr>
          <w:p>
            <w:pPr>
              <w:pStyle w:val="MDPI42tablebody"/>
              <w:jc w:val="center"/>
            </w:pPr>
            <m:oMath>
              <m:r>
                <m:t>2.49</m:t>
              </m:r>
              <m:r>
                <m:rPr>
                  <m:sty m:val="p"/>
                </m:rPr>
                <m:t>±</m:t>
              </m:r>
              <m:r>
                <m:t>1.23</m:t>
              </m:r>
            </m:oMath>
            <w:r>
              <w:t xml:space="preserve">​</w:t>
            </w:r>
          </w:p>
        </w:tc>
        <w:tc>
          <w:tcPr>
            <w:vAlign w:val="center"/>
          </w:tcPr>
          <w:p>
            <w:pPr>
              <w:pStyle w:val="MDPI42tablebody"/>
              <w:jc w:val="center"/>
            </w:pPr>
            <m:oMath>
              <m:r>
                <m:rPr>
                  <m:sty m:val="p"/>
                </m:rPr>
                <m:t>+</m:t>
              </m:r>
              <m:r>
                <m:t>0.55</m:t>
              </m:r>
            </m:oMath>
            <w:r>
              <w:t xml:space="preserve">​</w:t>
            </w:r>
          </w:p>
        </w:tc>
      </w:tr>
      <w:tr>
        <w:trPr>
          <w:cantSplit/>
        </w:trPr>
        <w:tc>
          <w:tcPr>
            <w:vAlign w:val="center"/>
          </w:tcPr>
          <w:p>
            <w:pPr>
              <w:pStyle w:val="MDPI42tablebody"/>
              <w:jc w:val="center"/>
            </w:pPr>
            <w:r>
              <w:t xml:space="preserve">0.10</w:t>
            </w:r>
          </w:p>
        </w:tc>
        <w:tc>
          <w:tcPr>
            <w:vAlign w:val="center"/>
          </w:tcPr>
          <w:p>
            <w:pPr>
              <w:pStyle w:val="MDPI42tablebody"/>
              <w:jc w:val="center"/>
            </w:pPr>
            <w:r>
              <w:t xml:space="preserve">19.50</w:t>
            </w:r>
          </w:p>
        </w:tc>
        <w:tc>
          <w:tcPr>
            <w:vAlign w:val="center"/>
          </w:tcPr>
          <w:p>
            <w:pPr>
              <w:pStyle w:val="MDPI42tablebody"/>
              <w:jc w:val="center"/>
            </w:pPr>
            <w:r>
              <w:t xml:space="preserve">0.00</w:t>
            </w:r>
          </w:p>
        </w:tc>
        <w:tc>
          <w:tcPr>
            <w:vAlign w:val="center"/>
          </w:tcPr>
          <w:p>
            <w:pPr>
              <w:pStyle w:val="MDPI42tablebody"/>
              <w:jc w:val="center"/>
            </w:pPr>
            <m:oMath>
              <m:r>
                <m:t>3.11</m:t>
              </m:r>
              <m:r>
                <m:rPr>
                  <m:sty m:val="p"/>
                </m:rPr>
                <m:t>±</m:t>
              </m:r>
              <m:r>
                <m:t>0.36</m:t>
              </m:r>
            </m:oMath>
            <w:r>
              <w:t xml:space="preserve">​</w:t>
            </w:r>
          </w:p>
        </w:tc>
        <w:tc>
          <w:tcPr>
            <w:vAlign w:val="center"/>
          </w:tcPr>
          <w:p>
            <w:pPr>
              <w:pStyle w:val="MDPI42tablebody"/>
              <w:jc w:val="center"/>
            </w:pPr>
            <m:oMath>
              <m:r>
                <m:t>2.50</m:t>
              </m:r>
              <m:r>
                <m:rPr>
                  <m:sty m:val="p"/>
                </m:rPr>
                <m:t>±</m:t>
              </m:r>
              <m:r>
                <m:t>0.34</m:t>
              </m:r>
            </m:oMath>
            <w:r>
              <w:t xml:space="preserve">​</w:t>
            </w:r>
          </w:p>
        </w:tc>
        <w:tc>
          <w:tcPr>
            <w:vAlign w:val="center"/>
          </w:tcPr>
          <w:p>
            <w:pPr>
              <w:pStyle w:val="MDPI42tablebody"/>
              <w:jc w:val="center"/>
            </w:pPr>
            <m:oMath>
              <m:r>
                <m:rPr>
                  <m:sty m:val="p"/>
                </m:rPr>
                <m:t>+</m:t>
              </m:r>
              <m:r>
                <m:t>0.61</m:t>
              </m:r>
            </m:oMath>
            <w:r>
              <w:t xml:space="preserve">​</w:t>
            </w:r>
          </w:p>
        </w:tc>
      </w:tr>
      <w:tr>
        <w:trPr>
          <w:cantSplit/>
        </w:trPr>
        <w:tc>
          <w:tcPr>
            <w:vAlign w:val="center"/>
          </w:tcPr>
          <w:p>
            <w:pPr>
              <w:pStyle w:val="MDPI42tablebody"/>
              <w:jc w:val="center"/>
            </w:pPr>
            <w:r>
              <w:t xml:space="preserve">0.15</w:t>
            </w:r>
          </w:p>
        </w:tc>
        <w:tc>
          <w:tcPr>
            <w:vAlign w:val="center"/>
          </w:tcPr>
          <w:p>
            <w:pPr>
              <w:pStyle w:val="MDPI42tablebody"/>
              <w:jc w:val="center"/>
            </w:pPr>
            <w:r>
              <w:t xml:space="preserve">14.40</w:t>
            </w:r>
          </w:p>
        </w:tc>
        <w:tc>
          <w:tcPr>
            <w:vAlign w:val="center"/>
          </w:tcPr>
          <w:p>
            <w:pPr>
              <w:pStyle w:val="MDPI42tablebody"/>
              <w:jc w:val="center"/>
            </w:pPr>
            <w:r>
              <w:t xml:space="preserve">0.00</w:t>
            </w:r>
          </w:p>
        </w:tc>
        <w:tc>
          <w:tcPr>
            <w:vAlign w:val="center"/>
          </w:tcPr>
          <w:p>
            <w:pPr>
              <w:pStyle w:val="MDPI42tablebody"/>
              <w:jc w:val="center"/>
            </w:pPr>
            <m:oMath>
              <m:r>
                <m:t>4.61</m:t>
              </m:r>
              <m:r>
                <m:rPr>
                  <m:sty m:val="p"/>
                </m:rPr>
                <m:t>±</m:t>
              </m:r>
              <m:r>
                <m:t>0.93</m:t>
              </m:r>
            </m:oMath>
            <w:r>
              <w:t xml:space="preserve">​</w:t>
            </w:r>
          </w:p>
        </w:tc>
        <w:tc>
          <w:tcPr>
            <w:vAlign w:val="center"/>
          </w:tcPr>
          <w:p>
            <w:pPr>
              <w:pStyle w:val="MDPI42tablebody"/>
              <w:jc w:val="center"/>
            </w:pPr>
            <m:oMath>
              <m:r>
                <m:t>4.05</m:t>
              </m:r>
              <m:r>
                <m:rPr>
                  <m:sty m:val="p"/>
                </m:rPr>
                <m:t>±</m:t>
              </m:r>
              <m:r>
                <m:t>0.99</m:t>
              </m:r>
            </m:oMath>
            <w:r>
              <w:t xml:space="preserve">​</w:t>
            </w:r>
          </w:p>
        </w:tc>
        <w:tc>
          <w:tcPr>
            <w:vAlign w:val="center"/>
          </w:tcPr>
          <w:p>
            <w:pPr>
              <w:pStyle w:val="MDPI42tablebody"/>
              <w:jc w:val="center"/>
            </w:pPr>
            <m:oMath>
              <m:r>
                <m:rPr>
                  <m:sty m:val="p"/>
                </m:rPr>
                <m:t>+</m:t>
              </m:r>
              <m:r>
                <m:t>0.56</m:t>
              </m:r>
            </m:oMath>
            <w:r>
              <w:t xml:space="preserve">​</w:t>
            </w:r>
          </w:p>
        </w:tc>
      </w:tr>
      <w:tr>
        <w:trPr>
          <w:cantSplit/>
        </w:trPr>
        <w:tc>
          <w:tcPr>
            <w:vAlign w:val="center"/>
          </w:tcPr>
          <w:p>
            <w:pPr>
              <w:pStyle w:val="MDPI42tablebody"/>
              <w:jc w:val="center"/>
            </w:pPr>
            <w:r>
              <w:t xml:space="preserve">0.20</w:t>
            </w:r>
          </w:p>
        </w:tc>
        <w:tc>
          <w:tcPr>
            <w:vAlign w:val="center"/>
          </w:tcPr>
          <w:p>
            <w:pPr>
              <w:pStyle w:val="MDPI42tablebody"/>
              <w:jc w:val="center"/>
            </w:pPr>
            <w:r>
              <w:t xml:space="preserve">12.15</w:t>
            </w:r>
          </w:p>
        </w:tc>
        <w:tc>
          <w:tcPr>
            <w:vAlign w:val="center"/>
          </w:tcPr>
          <w:p>
            <w:pPr>
              <w:pStyle w:val="MDPI42tablebody"/>
              <w:jc w:val="center"/>
            </w:pPr>
            <w:r>
              <w:t xml:space="preserve">0.00</w:t>
            </w:r>
          </w:p>
        </w:tc>
        <w:tc>
          <w:tcPr>
            <w:vAlign w:val="center"/>
          </w:tcPr>
          <w:p>
            <w:pPr>
              <w:pStyle w:val="MDPI42tablebody"/>
              <w:jc w:val="center"/>
            </w:pPr>
            <m:oMath>
              <m:r>
                <m:t>2.43</m:t>
              </m:r>
              <m:r>
                <m:rPr>
                  <m:sty m:val="p"/>
                </m:rPr>
                <m:t>±</m:t>
              </m:r>
              <m:r>
                <m:t>2.49</m:t>
              </m:r>
            </m:oMath>
            <w:r>
              <w:t xml:space="preserve">​</w:t>
            </w:r>
          </w:p>
        </w:tc>
        <w:tc>
          <w:tcPr>
            <w:vAlign w:val="center"/>
          </w:tcPr>
          <w:p>
            <w:pPr>
              <w:pStyle w:val="MDPI42tablebody"/>
              <w:jc w:val="center"/>
            </w:pPr>
            <m:oMath>
              <m:r>
                <m:t>1.34</m:t>
              </m:r>
              <m:r>
                <m:rPr>
                  <m:sty m:val="p"/>
                </m:rPr>
                <m:t>±</m:t>
              </m:r>
              <m:r>
                <m:t>3.05</m:t>
              </m:r>
            </m:oMath>
            <w:r>
              <w:t xml:space="preserve">​</w:t>
            </w:r>
          </w:p>
        </w:tc>
        <w:tc>
          <w:tcPr>
            <w:vAlign w:val="center"/>
          </w:tcPr>
          <w:p>
            <w:pPr>
              <w:pStyle w:val="MDPI42tablebody"/>
              <w:jc w:val="center"/>
            </w:pPr>
            <m:oMath>
              <m:r>
                <m:rPr>
                  <m:sty m:val="p"/>
                </m:rPr>
                <m:t>+</m:t>
              </m:r>
              <m:r>
                <m:t>1.09</m:t>
              </m:r>
            </m:oMath>
            <w:r>
              <w:t xml:space="preserve">​</w:t>
            </w:r>
          </w:p>
        </w:tc>
      </w:tr>
    </w:tbl>
    <w:bookmarkEnd w:id="58"/>
    <w:p/>
    <w:bookmarkStart w:id="59" w:name="tab:twobytwo"/>
    <w:p>
      <w:pPr>
        <w:pStyle w:val="MDPI41tablecaption"/>
        <w:keepNext/>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MDPI41threelinetable"/>
        <w:tblW w:type="dxa" w:w="792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320"/>
        <w:gridCol w:w="1320"/>
        <w:gridCol w:w="1320"/>
        <w:gridCol w:w="1320"/>
        <w:gridCol w:w="1320"/>
        <w:gridCol w:w="1320"/>
      </w:tblGrid>
      <w:tr>
        <w:trPr>
          <w:tblHeader w:val="on"/>
          <w:cantSplit/>
        </w:trPr>
        <w:tc>
          <w:tcPr>
            <w:vAlign w:val="center"/>
            <w:tcBorders>
              <w:bottom w:val="single" w:sz="8" w:space="0" w:color="000000"/>
            </w:tcBorders>
          </w:tcPr>
          <w:p>
            <w:pPr>
              <w:pStyle w:val="MDPI42tablebody"/>
              <w:jc w:val="center"/>
            </w:pPr>
          </w:p>
        </w:tc>
        <w:tc>
          <w:tcPr>
            <w:gridSpan w:val="2"/>
            <w:vAlign w:val="center"/>
            <w:tcBorders>
              <w:bottom w:val="single" w:sz="8" w:space="0" w:color="000000"/>
            </w:tcBorders>
          </w:tcPr>
          <w:p>
            <w:pPr>
              <w:pStyle w:val="MDPI42tablebody"/>
              <w:jc w:val="center"/>
            </w:pPr>
            <w:r>
              <w:rPr>
                <w:b/>
              </w:rPr>
              <w:t xml:space="preserve">Original objective</w:t>
            </w:r>
          </w:p>
        </w:tc>
        <w:tc>
          <w:tcPr>
            <w:gridSpan w:val="2"/>
            <w:vAlign w:val="center"/>
            <w:tcBorders>
              <w:bottom w:val="single" w:sz="8" w:space="0" w:color="000000"/>
            </w:tcBorders>
          </w:tcPr>
          <w:p>
            <w:pPr>
              <w:pStyle w:val="MDPI42tablebody"/>
              <w:jc w:val="center"/>
            </w:pPr>
            <w:r>
              <w:rPr>
                <w:b/>
              </w:rPr>
              <w:t xml:space="preserve">Priced objective</w:t>
            </w:r>
          </w:p>
        </w:tc>
        <w:tc>
          <w:tcPr>
            <w:vAlign w:val="center"/>
            <w:tcBorders>
              <w:bottom w:val="single" w:sz="8" w:space="0" w:color="000000"/>
            </w:tcBorders>
          </w:tcPr>
          <w:p>
            <w:pPr>
              <w:pStyle w:val="MDPI42tablebody"/>
              <w:jc w:val="center"/>
            </w:pPr>
            <w:r>
              <w:rPr>
                <w:b/>
              </w:rPr>
              <w:t xml:space="preserve">Boiler</w:t>
            </w:r>
          </w:p>
        </w:tc>
      </w:tr>
      <w:tr>
        <w:trPr>
          <w:cantSplit/>
        </w:trPr>
        <w:tc>
          <w:tcPr>
            <w:vAlign w:val="center"/>
          </w:tcPr>
          <w:p>
            <w:pPr>
              <w:pStyle w:val="MDPI42tablebody"/>
              <w:jc w:val="center"/>
            </w:pPr>
            <w:r>
              <w:t/>
            </w:r>
            <w:r>
              <w:t/>
            </w:r>
            <w:r>
              <w:t/>
            </w:r>
            <w:r>
              <w:t xml:space="preserve"> </w:t>
            </w:r>
            <w:r>
              <w:t xml:space="preserve">Library</w:t>
            </w:r>
          </w:p>
        </w:tc>
        <w:tc>
          <w:tcPr>
            <w:vAlign w:val="center"/>
          </w:tcPr>
          <w:p>
            <w:pPr>
              <w:pStyle w:val="MDPI42tablebody"/>
              <w:jc w:val="center"/>
            </w:pPr>
            <w:r>
              <w:t xml:space="preserve">dropped</w:t>
            </w:r>
          </w:p>
        </w:tc>
        <w:tc>
          <w:tcPr>
            <w:vAlign w:val="center"/>
          </w:tcPr>
          <w:p>
            <w:pPr>
              <w:pStyle w:val="MDPI42tablebody"/>
              <w:jc w:val="center"/>
            </w:pPr>
            <w:r>
              <w:t xml:space="preserve">kept</w:t>
            </w:r>
          </w:p>
        </w:tc>
        <w:tc>
          <w:tcPr>
            <w:vAlign w:val="center"/>
          </w:tcPr>
          <w:p>
            <w:pPr>
              <w:pStyle w:val="MDPI42tablebody"/>
              <w:jc w:val="center"/>
            </w:pPr>
            <w:r>
              <w:t xml:space="preserve">dropped</w:t>
            </w:r>
          </w:p>
        </w:tc>
        <w:tc>
          <w:tcPr>
            <w:vAlign w:val="center"/>
          </w:tcPr>
          <w:p>
            <w:pPr>
              <w:pStyle w:val="MDPI42tablebody"/>
              <w:jc w:val="center"/>
            </w:pPr>
            <w:r>
              <w:t xml:space="preserve">kept</w:t>
            </w:r>
          </w:p>
        </w:tc>
        <w:tc>
          <w:tcPr>
            <w:vAlign w:val="center"/>
          </w:tcPr>
          <w:p>
            <w:pPr>
              <w:pStyle w:val="MDPI42tablebody"/>
              <w:jc w:val="center"/>
            </w:pPr>
            <w:r>
              <w:t xml:space="preserve">effect (priced)</w:t>
            </w:r>
          </w:p>
        </w:tc>
      </w:tr>
      <w:tr>
        <w:trPr>
          <w:cantSplit/>
        </w:trPr>
        <w:tc>
          <w:tcPr>
            <w:vAlign w:val="center"/>
          </w:tcPr>
          <w:p>
            <w:pPr>
              <w:pStyle w:val="MDPI42tablebody"/>
              <w:jc w:val="center"/>
            </w:pPr>
            <w:r>
              <w:rPr>
                <w:rStyle w:val="VerbatimChar"/>
              </w:rPr>
              <w:t xml:space="preserve">raw</w:t>
            </w:r>
          </w:p>
        </w:tc>
        <w:tc>
          <w:tcPr>
            <w:vAlign w:val="center"/>
          </w:tcPr>
          <w:p>
            <w:pPr>
              <w:pStyle w:val="MDPI42tablebody"/>
              <w:jc w:val="center"/>
            </w:pPr>
            <m:oMath>
              <m:r>
                <m:rPr>
                  <m:sty m:val="p"/>
                </m:rPr>
                <m:t>+</m:t>
              </m:r>
              <m:r>
                <m:t>3.20</m:t>
              </m:r>
            </m:oMath>
            <w:r>
              <w:t xml:space="preserve"> </w:t>
            </w:r>
            <w:r>
              <w:t xml:space="preserve">(76)</w:t>
            </w:r>
          </w:p>
        </w:tc>
        <w:tc>
          <w:tcPr>
            <w:vAlign w:val="center"/>
          </w:tcPr>
          <w:p>
            <w:pPr>
              <w:pStyle w:val="MDPI42tablebody"/>
              <w:jc w:val="center"/>
            </w:pPr>
            <m:oMath>
              <m:r>
                <m:rPr>
                  <m:sty m:val="p"/>
                </m:rPr>
                <m:t>+</m:t>
              </m:r>
              <m:r>
                <m:t>4.43</m:t>
              </m:r>
            </m:oMath>
            <w:r>
              <w:t xml:space="preserve"> </w:t>
            </w:r>
            <w:r>
              <w:t xml:space="preserve">(84)</w:t>
            </w:r>
          </w:p>
        </w:tc>
        <w:tc>
          <w:tcPr>
            <w:vAlign w:val="center"/>
          </w:tcPr>
          <w:p>
            <w:pPr>
              <w:pStyle w:val="MDPI42tablebody"/>
              <w:jc w:val="center"/>
            </w:pPr>
            <m:oMath>
              <m:r>
                <m:rPr>
                  <m:sty m:val="p"/>
                </m:rPr>
                <m:t>+</m:t>
              </m:r>
              <m:r>
                <m:t>3.48</m:t>
              </m:r>
            </m:oMath>
            <w:r>
              <w:t xml:space="preserve"> </w:t>
            </w:r>
            <w:r>
              <w:t xml:space="preserve">(76)</w:t>
            </w:r>
          </w:p>
        </w:tc>
        <w:tc>
          <w:tcPr>
            <w:vAlign w:val="center"/>
          </w:tcPr>
          <w:p>
            <w:pPr>
              <w:pStyle w:val="MDPI42tablebody"/>
              <w:jc w:val="center"/>
            </w:pPr>
            <m:oMath>
              <m:r>
                <m:rPr>
                  <m:sty m:val="b"/>
                </m:rPr>
                <m:t>+</m:t>
              </m:r>
              <m:r>
                <m:rPr>
                  <m:sty m:val="b"/>
                </m:rPr>
                <m:t>4.61</m:t>
              </m:r>
            </m:oMath>
            <w:r>
              <w:t xml:space="preserve"> </w:t>
            </w:r>
            <w:r>
              <w:t xml:space="preserve">(84)</w:t>
            </w:r>
          </w:p>
        </w:tc>
        <w:tc>
          <w:tcPr>
            <w:vAlign w:val="center"/>
          </w:tcPr>
          <w:p>
            <w:pPr>
              <w:pStyle w:val="MDPI42tablebody"/>
              <w:jc w:val="center"/>
            </w:pPr>
            <m:oMath>
              <m:r>
                <m:rPr>
                  <m:sty m:val="p"/>
                </m:rPr>
                <m:t>+</m:t>
              </m:r>
              <m:r>
                <m:t>1.13</m:t>
              </m:r>
            </m:oMath>
            <w:r>
              <w:t xml:space="preserve"> </w:t>
            </w:r>
            <w:r>
              <w:t xml:space="preserve">(n.s.)</w:t>
            </w:r>
          </w:p>
        </w:tc>
      </w:tr>
      <w:tr>
        <w:trPr>
          <w:cantSplit/>
        </w:trPr>
        <w:tc>
          <w:tcPr>
            <w:vAlign w:val="center"/>
          </w:tcPr>
          <w:p>
            <w:pPr>
              <w:pStyle w:val="MDPI42tablebody"/>
              <w:jc w:val="center"/>
            </w:pPr>
            <w:r>
              <w:rPr>
                <w:rStyle w:val="VerbatimChar"/>
              </w:rPr>
              <w:t xml:space="preserve">physics_no_cross</w:t>
            </w:r>
          </w:p>
        </w:tc>
        <w:tc>
          <w:tcPr>
            <w:vAlign w:val="center"/>
          </w:tcPr>
          <w:p>
            <w:pPr>
              <w:pStyle w:val="MDPI42tablebody"/>
              <w:jc w:val="center"/>
            </w:pPr>
            <m:oMath>
              <m:r>
                <m:rPr>
                  <m:sty m:val="p"/>
                </m:rPr>
                <m:t>−</m:t>
              </m:r>
              <m:r>
                <m:t>1.42</m:t>
              </m:r>
            </m:oMath>
            <w:r>
              <w:t xml:space="preserve"> </w:t>
            </w:r>
            <w:r>
              <w:t xml:space="preserve">(88)</w:t>
            </w:r>
          </w:p>
        </w:tc>
        <w:tc>
          <w:tcPr>
            <w:vAlign w:val="center"/>
          </w:tcPr>
          <w:p>
            <w:pPr>
              <w:pStyle w:val="MDPI42tablebody"/>
              <w:jc w:val="center"/>
            </w:pPr>
            <m:oMath>
              <m:r>
                <m:rPr>
                  <m:sty m:val="p"/>
                </m:rPr>
                <m:t>+</m:t>
              </m:r>
              <m:r>
                <m:t>0.15</m:t>
              </m:r>
            </m:oMath>
            <w:r>
              <w:t xml:space="preserve"> </w:t>
            </w:r>
            <w:r>
              <w:t xml:space="preserve">(312)</w:t>
            </w:r>
          </w:p>
        </w:tc>
        <w:tc>
          <w:tcPr>
            <w:vAlign w:val="center"/>
          </w:tcPr>
          <w:p>
            <w:pPr>
              <w:pStyle w:val="MDPI42tablebody"/>
              <w:jc w:val="center"/>
            </w:pPr>
            <m:oMath>
              <m:r>
                <m:rPr>
                  <m:sty m:val="p"/>
                </m:rPr>
                <m:t>+</m:t>
              </m:r>
              <m:r>
                <m:t>0.02</m:t>
              </m:r>
            </m:oMath>
            <w:r>
              <w:t xml:space="preserve"> </w:t>
            </w:r>
            <w:r>
              <w:t xml:space="preserve">(80)</w:t>
            </w:r>
          </w:p>
        </w:tc>
        <w:tc>
          <w:tcPr>
            <w:vAlign w:val="center"/>
          </w:tcPr>
          <w:p>
            <w:pPr>
              <w:pStyle w:val="MDPI42tablebody"/>
              <w:jc w:val="center"/>
            </w:pPr>
            <m:oMath>
              <m:r>
                <m:rPr>
                  <m:sty m:val="p"/>
                </m:rPr>
                <m:t>+</m:t>
              </m:r>
              <m:r>
                <m:t>2.36</m:t>
              </m:r>
            </m:oMath>
            <w:r>
              <w:t xml:space="preserve"> </w:t>
            </w:r>
            <w:r>
              <w:t xml:space="preserve">(320)</w:t>
            </w:r>
          </w:p>
        </w:tc>
        <w:tc>
          <w:tcPr>
            <w:vAlign w:val="center"/>
          </w:tcPr>
          <w:p>
            <w:pPr>
              <w:pStyle w:val="MDPI42tablebody"/>
              <w:jc w:val="center"/>
            </w:pPr>
            <m:oMath>
              <m:r>
                <m:rPr>
                  <m:sty m:val="b"/>
                </m:rPr>
                <m:t>+</m:t>
              </m:r>
              <m:r>
                <m:rPr>
                  <m:sty m:val="b"/>
                </m:rPr>
                <m:t>2.34</m:t>
              </m:r>
            </m:oMath>
            <w:r>
              <w:t xml:space="preserve">​</w:t>
            </w:r>
          </w:p>
        </w:tc>
      </w:tr>
      <w:tr>
        <w:trPr>
          <w:cantSplit/>
        </w:trPr>
        <w:tc>
          <w:tcPr>
            <w:vAlign w:val="center"/>
          </w:tcPr>
          <w:p>
            <w:pPr>
              <w:pStyle w:val="MDPI42tablebody"/>
              <w:jc w:val="center"/>
            </w:pP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2.74</m:t>
              </m:r>
            </m:oMath>
            <w:r>
              <w:t xml:space="preserve"> </w:t>
            </w:r>
            <w:r>
              <w:t xml:space="preserve">(72)</w:t>
            </w:r>
          </w:p>
        </w:tc>
        <w:tc>
          <w:tcPr>
            <w:vAlign w:val="center"/>
          </w:tcPr>
          <w:p>
            <w:pPr>
              <w:pStyle w:val="MDPI42tablebody"/>
              <w:jc w:val="center"/>
            </w:pPr>
            <m:oMath>
              <m:r>
                <m:rPr>
                  <m:sty m:val="p"/>
                </m:rPr>
                <m:t>+</m:t>
              </m:r>
              <m:r>
                <m:t>2.52</m:t>
              </m:r>
            </m:oMath>
            <w:r>
              <w:t xml:space="preserve"> </w:t>
            </w:r>
            <w:r>
              <w:t xml:space="preserve">(88)</w:t>
            </w:r>
          </w:p>
        </w:tc>
        <w:tc>
          <w:tcPr>
            <w:vAlign w:val="center"/>
          </w:tcPr>
          <w:p>
            <w:pPr>
              <w:pStyle w:val="MDPI42tablebody"/>
              <w:jc w:val="center"/>
            </w:pPr>
            <m:oMath>
              <m:r>
                <m:rPr>
                  <m:sty m:val="p"/>
                </m:rPr>
                <m:t>−</m:t>
              </m:r>
              <m:r>
                <m:t>0.22</m:t>
              </m:r>
            </m:oMath>
            <w:r>
              <w:t xml:space="preserve"> </w:t>
            </w:r>
            <w:r>
              <w:t xml:space="preserve">(n.s.)</w:t>
            </w:r>
          </w:p>
        </w:tc>
      </w:tr>
      <w:tr>
        <w:trPr>
          <w:cantSplit/>
        </w:trPr>
        <w:tc>
          <w:tcPr>
            <w:vAlign w:val="center"/>
          </w:tcPr>
          <w:p>
            <w:pPr>
              <w:pStyle w:val="MDPI42tablebody"/>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jc w:val="center"/>
            </w:pPr>
            <m:oMath>
              <m:r>
                <m:rPr>
                  <m:sty m:val="p"/>
                </m:rPr>
                <m:t>+</m:t>
              </m:r>
              <m:r>
                <m:t>4.62</m:t>
              </m:r>
            </m:oMath>
            <w:r>
              <w:t xml:space="preserve">​</w:t>
            </w:r>
          </w:p>
        </w:tc>
        <w:tc>
          <w:tcPr>
            <w:vAlign w:val="center"/>
          </w:tcPr>
          <w:p>
            <w:pPr>
              <w:pStyle w:val="MDPI42tablebody"/>
              <w:jc w:val="center"/>
            </w:pPr>
            <m:oMath>
              <m:r>
                <m:rPr>
                  <m:sty m:val="p"/>
                </m:rPr>
                <m:t>+</m:t>
              </m:r>
              <m:r>
                <m:t>4.28</m:t>
              </m:r>
            </m:oMath>
            <w:r>
              <w:t xml:space="preserve">​</w:t>
            </w:r>
          </w:p>
        </w:tc>
        <w:tc>
          <w:tcPr>
            <w:vAlign w:val="center"/>
          </w:tcPr>
          <w:p>
            <w:pPr>
              <w:pStyle w:val="MDPI42tablebody"/>
              <w:jc w:val="center"/>
            </w:pPr>
            <m:oMath>
              <m:r>
                <m:rPr>
                  <m:sty m:val="p"/>
                </m:rPr>
                <m:t>+</m:t>
              </m:r>
              <m:r>
                <m:t>3.46</m:t>
              </m:r>
            </m:oMath>
            <w:r>
              <w:t xml:space="preserve">​</w:t>
            </w:r>
          </w:p>
        </w:tc>
        <w:tc>
          <w:tcPr>
            <w:vAlign w:val="center"/>
          </w:tcPr>
          <w:p>
            <w:pPr>
              <w:pStyle w:val="MDPI42tablebody"/>
              <w:jc w:val="center"/>
            </w:pPr>
            <m:oMath>
              <m:r>
                <m:rPr>
                  <m:sty m:val="p"/>
                </m:rPr>
                <m:t>+</m:t>
              </m:r>
              <m:r>
                <m:t>2.25</m:t>
              </m:r>
            </m:oMath>
            <w:r>
              <w:t xml:space="preserve">​</w:t>
            </w:r>
          </w:p>
        </w:tc>
        <w:tc>
          <w:tcPr>
            <w:vAlign w:val="center"/>
          </w:tcPr>
          <w:p>
            <w:pPr>
              <w:pStyle w:val="MDPI42tablebody"/>
              <w:jc w:val="center"/>
            </w:pPr>
          </w:p>
        </w:tc>
      </w:tr>
      <w:tr>
        <w:trPr>
          <w:cantSplit/>
        </w:trPr>
        <w:tc>
          <w:tcPr>
            <w:vAlign w:val="center"/>
          </w:tcPr>
          <w:p>
            <w:pPr>
              <w:pStyle w:val="MDPI42tablebody"/>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0.75</m:t>
              </m:r>
            </m:oMath>
            <w:r>
              <w:t xml:space="preserve">​</w:t>
            </w:r>
          </w:p>
        </w:tc>
        <w:tc>
          <w:tcPr>
            <w:vAlign w:val="center"/>
          </w:tcPr>
          <w:p>
            <w:pPr>
              <w:pStyle w:val="MDPI42tablebody"/>
              <w:jc w:val="center"/>
            </w:pPr>
            <m:oMath>
              <m:r>
                <m:rPr>
                  <m:sty m:val="p"/>
                </m:rPr>
                <m:t>+</m:t>
              </m:r>
              <m:r>
                <m:t>2.09</m:t>
              </m:r>
            </m:oMath>
            <w:r>
              <w:t xml:space="preserve">​</w:t>
            </w:r>
          </w:p>
        </w:tc>
        <w:tc>
          <w:tcPr>
            <w:vAlign w:val="center"/>
          </w:tcPr>
          <w:p>
            <w:pPr>
              <w:pStyle w:val="MDPI42tablebody"/>
              <w:jc w:val="center"/>
            </w:pPr>
          </w:p>
        </w:tc>
      </w:tr>
    </w:tbl>
    <w:bookmarkEnd w:id="59"/>
    <w:p>
      <w:pPr>
        <w:pStyle w:val="MDPI31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3" w:name="fig:lambda"/>
    <w:p>
      <w:pPr>
        <w:pStyle w:val="MDPI52figure"/>
        <w:jc w:val="center"/>
        <w:keepNext/>
      </w:pPr>
      <w:r>
        <w:drawing>
          <wp:inline>
            <wp:extent cx="6391640" cy="2529483"/>
            <wp:effectExtent b="0" l="0" r="0" t="0"/>
            <wp:docPr descr="" title="" id="61" name="Picture"/>
            <a:graphic>
              <a:graphicData uri="http://schemas.openxmlformats.org/drawingml/2006/picture">
                <pic:pic>
                  <pic:nvPicPr>
                    <pic:cNvPr descr="figures/fig3_lambda_survival_knockin.png" id="62" name="Picture"/>
                    <pic:cNvPicPr>
                      <a:picLocks noChangeArrowheads="1" noChangeAspect="1"/>
                    </pic:cNvPicPr>
                  </pic:nvPicPr>
                  <pic:blipFill>
                    <a:blip r:embed="rId60"/>
                    <a:stretch>
                      <a:fillRect/>
                    </a:stretch>
                  </pic:blipFill>
                  <pic:spPr bwMode="auto">
                    <a:xfrm>
                      <a:off x="0" y="0"/>
                      <a:ext cx="6391640" cy="2529483"/>
                    </a:xfrm>
                    <a:prstGeom prst="rect">
                      <a:avLst/>
                    </a:prstGeom>
                    <a:noFill/>
                    <a:ln w="9525">
                      <a:noFill/>
                      <a:headEnd/>
                      <a:tailEnd/>
                    </a:ln>
                  </pic:spPr>
                </pic:pic>
              </a:graphicData>
            </a:graphic>
          </wp:inline>
        </w:drawing>
      </w:r>
    </w:p>
    <w:p>
      <w:pPr>
        <w:pStyle w:val="MDPI51figurecaption"/>
        <w:keepLines/>
      </w:pPr>
      <w:r>
        <w:rPr>
          <w:b/>
        </w:rPr>
        <w:t xml:space="preserve">Figure 3. </w:t>
      </w:r>
      <w:r>
        <w:t xml:space="preserve">Sparsity sweep, boiler-term survival and the controlled single-coefficient</w:t>
      </w:r>
      <w:r>
        <w:t xml:space="preserve"> </w:t>
      </w:r>
      <w:r>
        <w:t xml:space="preserve">ablation;</w:t>
      </w:r>
      <w:r>
        <w:t xml:space="preserve"> </w:t>
      </w:r>
      <w:r>
        <w:rPr>
          <w:rStyle w:val="VerbatimChar"/>
        </w:rPr>
        <w:t xml:space="preserve">physics_no_cross</w:t>
      </w:r>
      <w:r>
        <w:t xml:space="preserve"> </w:t>
      </w:r>
      <w:r>
        <w:t xml:space="preserve">library, season 2020, 20 seeds per level.</w:t>
      </w:r>
      <w:r>
        <w:t xml:space="preserve"> </w:t>
      </w:r>
      <w:r>
        <w:t xml:space="preserve">(</w:t>
      </w:r>
      <w:r>
        <w:rPr>
          <w:b/>
          <w:bCs/>
        </w:rPr>
        <w:t xml:space="preserve">a</w:t>
      </w:r>
      <w:r>
        <w:t xml:space="preserve">) Mean margin against the sparsity</w:t>
      </w:r>
      <w:r>
        <w:t xml:space="preserve"> </w:t>
      </w:r>
      <w:r>
        <w:t xml:space="preserve">threshold</w:t>
      </w:r>
      <w:r>
        <w:t xml:space="preserve"> </w:t>
      </w:r>
      <m:oMath>
        <m:r>
          <m:t>λ</m:t>
        </m:r>
      </m:oMath>
      <w:r>
        <w:t xml:space="preserve"> </w:t>
      </w:r>
      <w:r>
        <w:t xml:space="preserve">under both objectives,</w:t>
      </w:r>
      <w:r>
        <w:t xml:space="preserve"> </w:t>
      </w:r>
      <m:oMath>
        <m:r>
          <m:rPr>
            <m:sty m:val="p"/>
          </m:rPr>
          <m:t>±</m:t>
        </m:r>
        <m:r>
          <m:t>1</m:t>
        </m:r>
      </m:oMath>
      <w:r>
        <w:t xml:space="preserve"> SD shaded; the priced objective lifts</w:t>
      </w:r>
      <w:r>
        <w:t xml:space="preserve"> </w:t>
      </w:r>
      <w:r>
        <w:t xml:space="preserve">the margin at every level. (</w:t>
      </w:r>
      <w:r>
        <w:rPr>
          <w:b/>
          <w:bCs/>
        </w:rPr>
        <w:t xml:space="preserve">b</w:t>
      </w:r>
      <w:r>
        <w:t xml:space="preserve">) Survival fraction of the boiler coefficient over</w:t>
      </w:r>
      <w:r>
        <w:t xml:space="preserve"> </w:t>
      </w:r>
      <w:r>
        <w:t xml:space="preserve">the same grid: it disappears between</w:t>
      </w:r>
      <w:r>
        <w:t xml:space="preserve"> </w:t>
      </w:r>
      <m:oMath>
        <m:r>
          <m:t>λ</m:t>
        </m:r>
        <m:r>
          <m:rPr>
            <m:sty m:val="p"/>
          </m:rPr>
          <m:t>=</m:t>
        </m:r>
        <m:r>
          <m:t>0.03</m:t>
        </m:r>
      </m:oMath>
      <w:r>
        <w:t xml:space="preserve"> </w:t>
      </w:r>
      <w:r>
        <w:t xml:space="preserve">and</w:t>
      </w:r>
      <w:r>
        <w:t xml:space="preserve"> </w:t>
      </w:r>
      <m:oMath>
        <m:r>
          <m:t>λ</m:t>
        </m:r>
        <m:r>
          <m:rPr>
            <m:sty m:val="p"/>
          </m:rPr>
          <m:t>=</m:t>
        </m:r>
        <m:r>
          <m:t>0.06</m:t>
        </m:r>
      </m:oMath>
      <w:r>
        <w:t xml:space="preserve"> </w:t>
      </w:r>
      <w:r>
        <w:t xml:space="preserve">under both</w:t>
      </w:r>
      <w:r>
        <w:t xml:space="preserve"> </w:t>
      </w:r>
      <w:r>
        <w:t xml:space="preserve">objectives. Ticks give per-controller survival in the main comparison, from</w:t>
      </w:r>
      <w:r>
        <w:t xml:space="preserve"> </w:t>
      </w:r>
      <m:oMath>
        <m:r>
          <m:t>0.15</m:t>
        </m:r>
      </m:oMath>
      <w:r>
        <w:t xml:space="preserve"> </w:t>
      </w:r>
      <w:r>
        <w:t xml:space="preserve">for the</w:t>
      </w:r>
      <w:r>
        <w:t xml:space="preserve"> </w:t>
      </w:r>
      <w:r>
        <w:t xml:space="preserve">frozen recipe to</w:t>
      </w:r>
      <w:r>
        <w:t xml:space="preserve"> </w:t>
      </w:r>
      <m:oMath>
        <m:r>
          <m:t>1.00</m:t>
        </m:r>
      </m:oMath>
      <w:r>
        <w:t xml:space="preserve"> </w:t>
      </w:r>
      <w:r>
        <w:t xml:space="preserve">for the low-threshold variants, with</w:t>
      </w:r>
      <w:r>
        <w:t xml:space="preserve"> </w:t>
      </w:r>
      <m:oMath>
        <m:r>
          <m:t>0.50</m:t>
        </m:r>
      </m:oMath>
      <w:r>
        <w:t xml:space="preserve"> </w:t>
      </w:r>
      <w:r>
        <w:t xml:space="preserve">and</w:t>
      </w:r>
      <w:r>
        <w:t xml:space="preserve"> </w:t>
      </w:r>
      <m:oMath>
        <m:r>
          <m:t>0.55</m:t>
        </m:r>
      </m:oMath>
      <w:r>
        <w:t xml:space="preserve"> </w:t>
      </w:r>
      <w:r>
        <w:t xml:space="preserve">for the two</w:t>
      </w:r>
      <w:r>
        <w:t xml:space="preserve"> </w:t>
      </w:r>
      <w:r>
        <w:t xml:space="preserve">raw-library controllers and</w:t>
      </w:r>
      <w:r>
        <w:t xml:space="preserve"> </w:t>
      </w:r>
      <m:oMath>
        <m:r>
          <m:t>0.55</m:t>
        </m:r>
      </m:oMath>
      <w:r>
        <w:t xml:space="preserve"> </w:t>
      </w:r>
      <w:r>
        <w:t xml:space="preserve">for both full-</w:t>
      </w:r>
      <w:r>
        <w:rPr>
          <w:rStyle w:val="VerbatimChar"/>
        </w:rPr>
        <w:t xml:space="preserve">physics</w:t>
      </w:r>
      <w:r>
        <w:t xml:space="preserve"> </w:t>
      </w:r>
      <w:r>
        <w:t xml:space="preserve">controllers; the</w:t>
      </w:r>
      <w:r>
        <w:t xml:space="preserve"> </w:t>
      </w:r>
      <w:r>
        <w:t xml:space="preserve">neural-surrogate MPC has no thresholded coefficients and therefore no tick.</w:t>
      </w:r>
      <w:r>
        <w:t xml:space="preserve"> </w:t>
      </w:r>
      <w:r>
        <w:t xml:space="preserve">(</w:t>
      </w:r>
      <w:r>
        <w:rPr>
          <w:b/>
          <w:bCs/>
        </w:rPr>
        <w:t xml:space="preserve">c</w:t>
      </w:r>
      <w:r>
        <w:t xml:space="preserve">) Knocking the coefficient back in, per replicate and</w:t>
      </w:r>
      <w:r>
        <w:t xml:space="preserve"> </w:t>
      </w:r>
      <w:r>
        <w:t xml:space="preserve">paired on seed, under each objective; the heavy tick is the median and the open symbol the</w:t>
      </w:r>
      <w:r>
        <w:t xml:space="preserve"> </w:t>
      </w:r>
      <w:r>
        <w:t xml:space="preserve">mean. Under the priced objective the effect is significant but typically small and heavily</w:t>
      </w:r>
      <w:r>
        <w:t xml:space="preserve"> </w:t>
      </w:r>
      <w:r>
        <w:t xml:space="preserve">right-skewed —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against a mean of</w:t>
      </w:r>
      <w:r>
        <w:t xml:space="preserve"> </w:t>
      </w:r>
      <m:oMath>
        <m:r>
          <m:rPr>
            <m:sty m:val="p"/>
          </m:rPr>
          <m:t>+</m:t>
        </m:r>
        <m:r>
          <m:t>1.92</m:t>
        </m:r>
      </m:oMath>
      <w:r>
        <w:t xml:space="preserve">, positive in 16 of</w:t>
      </w:r>
      <w:r>
        <w:t xml:space="preserve"> </w:t>
      </w:r>
      <w:r>
        <w:t xml:space="preserve">20 replicates. Data:</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bookmarkEnd w:id="63"/>
    <w:bookmarkEnd w:id="64"/>
    <w:bookmarkStart w:id="65" w:name="sec:res-alt"/>
    <w:p>
      <w:pPr>
        <w:pStyle w:val="MDPI22heading2"/>
        <w:keepNext/>
      </w:pPr>
      <w:r>
        <w:t xml:space="preserve">3.6. </w:t>
      </w:r>
      <w:r>
        <w:t xml:space="preserve">Alternative explanations</w:t>
      </w:r>
    </w:p>
    <w:p>
      <w:pPr>
        <w:pStyle w:val="MDPI31text"/>
      </w:pPr>
      <w:r>
        <w:rPr>
          <w:i/>
          <w:iCs/>
        </w:rPr>
        <w:t xml:space="preserve">Model accuracy is not the binding constraint.</w:t>
      </w:r>
      <w:r>
        <w:t xml:space="preserve"> </w:t>
      </w:r>
      <w:r>
        <w:t xml:space="preserve">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objective correction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MDPI31text"/>
      </w:pPr>
      <w:r>
        <w:rPr>
          <w:i/>
          <w:iCs/>
        </w:rPr>
        <w:t xml:space="preserve">Prediction error along the operating trajectory is small.</w:t>
      </w:r>
      <w:r>
        <w:t xml:space="preserve"> </w:t>
      </w:r>
      <w:r>
        <w:t xml:space="preserve">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MDPI31text"/>
      </w:pPr>
      <w:r>
        <w:rPr>
          <w:i/>
          <w:iCs/>
        </w:rP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0.88</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rPr>
          <w:i/>
          <w:iCs/>
        </w:rP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5"/>
    <w:bookmarkStart w:id="67" w:name="sec:res-safety"/>
    <w:p>
      <w:pPr>
        <w:pStyle w:val="MDPI22heading2"/>
        <w:keepNext/>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[38]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0.41</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[39–40]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w:t>
      </w:r>
      <w:r>
        <w:t xml:space="preserve"> </w:t>
      </w:r>
      <w:r>
        <w:rPr>
          <w:i/>
          <w:iCs/>
        </w:rPr>
        <w:t xml:space="preserve">worse</w:t>
      </w:r>
      <w:r>
        <w:t xml:space="preserve"> </w:t>
      </w:r>
      <w:r>
        <w:t xml:space="preserve">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[41],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MDPI31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6" w:name="tab:faults"/>
    <w:p>
      <w:pPr>
        <w:pStyle w:val="MDPI41tablecaption"/>
        <w:keepNext/>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dxa" w:w="792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320"/>
        <w:gridCol w:w="1320"/>
        <w:gridCol w:w="1320"/>
        <w:gridCol w:w="1320"/>
        <w:gridCol w:w="1320"/>
        <w:gridCol w:w="1320"/>
      </w:tblGrid>
      <w:tr>
        <w:trPr>
          <w:tblHeader w:val="on"/>
          <w:cantSplit/>
        </w:trPr>
        <w:tc>
          <w:tcPr>
            <w:vAlign w:val="center"/>
            <w:tcBorders>
              <w:bottom w:val="single" w:sz="8" w:space="0" w:color="000000"/>
            </w:tcBorders>
          </w:tcPr>
          <w:p>
            <w:pPr>
              <w:pStyle w:val="MDPI42tablebody"/>
              <w:jc w:val="center"/>
            </w:pPr>
            <w:r>
              <w:rPr>
                <w:b/>
              </w:rPr>
              <w:t xml:space="preserve">Fault</w:t>
            </w:r>
          </w:p>
        </w:tc>
        <w:tc>
          <w:tcPr>
            <w:vAlign w:val="center"/>
            <w:tcBorders>
              <w:bottom w:val="single" w:sz="8" w:space="0" w:color="000000"/>
            </w:tcBorders>
          </w:tcPr>
          <w:p>
            <w:pPr>
              <w:pStyle w:val="MDPI42tablebody"/>
              <w:jc w:val="center"/>
            </w:pPr>
            <w:r>
              <w:rPr>
                <w:b/>
              </w:rPr>
              <w:t xml:space="preserve">No supervisor</w:t>
            </w:r>
          </w:p>
        </w:tc>
        <w:tc>
          <w:tcPr>
            <w:vAlign w:val="center"/>
            <w:tcBorders>
              <w:bottom w:val="single" w:sz="8" w:space="0" w:color="000000"/>
            </w:tcBorders>
          </w:tcPr>
          <w:p>
            <w:pPr>
              <w:pStyle w:val="MDPI42tablebody"/>
              <w:jc w:val="center"/>
            </w:pPr>
            <w:r>
              <w:rPr>
                <w:b/>
              </w:rPr>
              <w:t xml:space="preserve">Supervised</w:t>
            </w:r>
          </w:p>
        </w:tc>
        <w:tc>
          <w:tcPr>
            <w:vAlign w:val="center"/>
            <w:tcBorders>
              <w:bottom w:val="single" w:sz="8" w:space="0" w:color="000000"/>
            </w:tcBorders>
          </w:tcPr>
          <w:p>
            <w:pPr>
              <w:pStyle w:val="MDPI42tablebody"/>
              <w:jc w:val="center"/>
            </w:pPr>
            <m:oMath>
              <m:r>
                <m:rPr>
                  <m:sty m:val="p"/>
                </m:rPr>
                <m:t>Δ</m:t>
              </m:r>
            </m:oMath>
            <w:r>
              <w:rPr>
                <w:b/>
              </w:rPr>
              <w:t xml:space="preserve">​</w:t>
            </w:r>
          </w:p>
        </w:tc>
        <w:tc>
          <w:tcPr>
            <w:vAlign w:val="center"/>
            <w:tcBorders>
              <w:bottom w:val="single" w:sz="8" w:space="0" w:color="000000"/>
            </w:tcBorders>
          </w:tcPr>
          <w:p>
            <w:pPr>
              <w:pStyle w:val="MDPI42tablebody"/>
              <w:jc w:val="center"/>
            </w:pPr>
            <w:r>
              <w:rPr>
                <w:b/>
              </w:rPr>
              <w:t xml:space="preserve">Wins</w:t>
            </w:r>
          </w:p>
        </w:tc>
        <w:tc>
          <w:tcPr>
            <w:vAlign w:val="center"/>
            <w:tcBorders>
              <w:bottom w:val="single" w:sz="8" w:space="0" w:color="000000"/>
            </w:tcBorders>
          </w:tcPr>
          <w:p>
            <w:pPr>
              <w:pStyle w:val="MDPI42tablebody"/>
              <w:jc w:val="center"/>
            </w:pPr>
            <w:r>
              <w:rPr>
                <w:b/>
              </w:rPr>
              <w:t xml:space="preserve">vs. fault-free</w:t>
            </w:r>
          </w:p>
        </w:tc>
      </w:tr>
      <w:tr>
        <w:trPr>
          <w:cantSplit/>
        </w:trPr>
        <w:tc>
          <w:tcPr>
            <w:vAlign w:val="center"/>
          </w:tcPr>
          <w:p>
            <w:pPr>
              <w:pStyle w:val="MDPI42tablebody"/>
              <w:jc w:val="center"/>
            </w:pPr>
            <w:r>
              <w:rPr>
                <w:rStyle w:val="VerbatimChar"/>
              </w:rPr>
              <w:t xml:space="preserve">uVent_dead</w:t>
            </w:r>
          </w:p>
        </w:tc>
        <w:tc>
          <w:tcPr>
            <w:vAlign w:val="center"/>
          </w:tcPr>
          <w:p>
            <w:pPr>
              <w:pStyle w:val="MDPI42tablebody"/>
              <w:jc w:val="center"/>
            </w:pPr>
            <m:oMath>
              <m:r>
                <m:rPr>
                  <m:sty m:val="p"/>
                </m:rPr>
                <m:t>−</m:t>
              </m:r>
              <m:r>
                <m:t>18.19</m:t>
              </m:r>
            </m:oMath>
            <w:r>
              <w:t xml:space="preserve"> </w:t>
            </w:r>
            <w:r>
              <w:t xml:space="preserve">(5.48)</w:t>
            </w:r>
          </w:p>
        </w:tc>
        <w:tc>
          <w:tcPr>
            <w:vAlign w:val="center"/>
          </w:tcPr>
          <w:p>
            <w:pPr>
              <w:pStyle w:val="MDPI42tablebody"/>
              <w:jc w:val="center"/>
            </w:pPr>
            <m:oMath>
              <m:r>
                <m:rPr>
                  <m:sty m:val="p"/>
                </m:rPr>
                <m:t>+</m:t>
              </m:r>
              <m:r>
                <m:t>0.10</m:t>
              </m:r>
            </m:oMath>
            <w:r>
              <w:t xml:space="preserve"> </w:t>
            </w:r>
            <w:r>
              <w:t xml:space="preserve">(0.30)</w:t>
            </w:r>
          </w:p>
        </w:tc>
        <w:tc>
          <w:tcPr>
            <w:vAlign w:val="center"/>
          </w:tcPr>
          <w:p>
            <w:pPr>
              <w:pStyle w:val="MDPI42tablebody"/>
              <w:jc w:val="center"/>
            </w:pPr>
            <m:oMath>
              <m:r>
                <m:rPr>
                  <m:sty m:val="p"/>
                </m:rPr>
                <m:t>+</m:t>
              </m:r>
              <m:r>
                <m:t>18.29</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3.53</m:t>
              </m:r>
            </m:oMath>
            <w:r>
              <w:t xml:space="preserve">​</w:t>
            </w:r>
          </w:p>
        </w:tc>
      </w:tr>
      <w:tr>
        <w:trPr>
          <w:cantSplit/>
        </w:trPr>
        <w:tc>
          <w:tcPr>
            <w:vAlign w:val="center"/>
          </w:tcPr>
          <w:p>
            <w:pPr>
              <w:pStyle w:val="MDPI42tablebody"/>
              <w:jc w:val="center"/>
            </w:pPr>
            <w:r>
              <w:rPr>
                <w:rStyle w:val="VerbatimChar"/>
              </w:rPr>
              <w:t xml:space="preserve">uBoil_stuck</w:t>
            </w:r>
          </w:p>
        </w:tc>
        <w:tc>
          <w:tcPr>
            <w:vAlign w:val="center"/>
          </w:tcPr>
          <w:p>
            <w:pPr>
              <w:pStyle w:val="MDPI42tablebody"/>
              <w:jc w:val="center"/>
            </w:pPr>
            <m:oMath>
              <m:r>
                <m:rPr>
                  <m:sty m:val="p"/>
                </m:rPr>
                <m:t>−</m:t>
              </m:r>
              <m:r>
                <m:t>8.41</m:t>
              </m:r>
            </m:oMath>
            <w:r>
              <w:t xml:space="preserve"> </w:t>
            </w:r>
            <w:r>
              <w:t xml:space="preserve">(5.35)</w:t>
            </w:r>
          </w:p>
        </w:tc>
        <w:tc>
          <w:tcPr>
            <w:vAlign w:val="center"/>
          </w:tcPr>
          <w:p>
            <w:pPr>
              <w:pStyle w:val="MDPI42tablebody"/>
              <w:jc w:val="center"/>
            </w:pPr>
            <m:oMath>
              <m:r>
                <m:rPr>
                  <m:sty m:val="p"/>
                </m:rPr>
                <m:t>−</m:t>
              </m:r>
              <m:r>
                <m:t>3.88</m:t>
              </m:r>
            </m:oMath>
            <w:r>
              <w:t xml:space="preserve"> </w:t>
            </w:r>
            <w:r>
              <w:t xml:space="preserve">(0.29)</w:t>
            </w:r>
          </w:p>
        </w:tc>
        <w:tc>
          <w:tcPr>
            <w:vAlign w:val="center"/>
          </w:tcPr>
          <w:p>
            <w:pPr>
              <w:pStyle w:val="MDPI42tablebody"/>
              <w:jc w:val="center"/>
            </w:pPr>
            <m:oMath>
              <m:r>
                <m:rPr>
                  <m:sty m:val="p"/>
                </m:rPr>
                <m:t>+</m:t>
              </m:r>
              <m:r>
                <m:t>4.54</m:t>
              </m:r>
            </m:oMath>
            <w:r>
              <w:t xml:space="preserve">​</w:t>
            </w:r>
          </w:p>
        </w:tc>
        <w:tc>
          <w:tcPr>
            <w:vAlign w:val="center"/>
          </w:tcPr>
          <w:p>
            <w:pPr>
              <w:pStyle w:val="MDPI42tablebody"/>
              <w:jc w:val="center"/>
            </w:pPr>
            <w:r>
              <w:t xml:space="preserve">16/20</w:t>
            </w:r>
          </w:p>
        </w:tc>
        <w:tc>
          <w:tcPr>
            <w:vAlign w:val="center"/>
          </w:tcPr>
          <w:p>
            <w:pPr>
              <w:pStyle w:val="MDPI42tablebody"/>
              <w:jc w:val="center"/>
            </w:pPr>
            <m:oMath>
              <m:r>
                <m:rPr>
                  <m:sty m:val="p"/>
                </m:rPr>
                <m:t>−</m:t>
              </m:r>
              <m:r>
                <m:t>7.50</m:t>
              </m:r>
            </m:oMath>
            <w:r>
              <w:t xml:space="preserve">​</w:t>
            </w:r>
          </w:p>
        </w:tc>
      </w:tr>
      <w:tr>
        <w:trPr>
          <w:cantSplit/>
        </w:trPr>
        <w:tc>
          <w:tcPr>
            <w:vAlign w:val="center"/>
          </w:tcPr>
          <w:p>
            <w:pPr>
              <w:pStyle w:val="MDPI42tablebody"/>
              <w:jc w:val="center"/>
            </w:pPr>
            <w:r>
              <w:rPr>
                <w:rStyle w:val="VerbatimChar"/>
              </w:rPr>
              <w:t xml:space="preserve">rh_offset</w:t>
            </w:r>
          </w:p>
        </w:tc>
        <w:tc>
          <w:tcPr>
            <w:vAlign w:val="center"/>
          </w:tcPr>
          <w:p>
            <w:pPr>
              <w:pStyle w:val="MDPI42tablebody"/>
              <w:jc w:val="center"/>
            </w:pPr>
            <m:oMath>
              <m:r>
                <m:rPr>
                  <m:sty m:val="p"/>
                </m:rPr>
                <m:t>+</m:t>
              </m:r>
              <m:r>
                <m:t>1.27</m:t>
              </m:r>
            </m:oMath>
            <w:r>
              <w:t xml:space="preserve"> </w:t>
            </w:r>
            <w:r>
              <w:t xml:space="preserve">(3.72)</w:t>
            </w:r>
          </w:p>
        </w:tc>
        <w:tc>
          <w:tcPr>
            <w:vAlign w:val="center"/>
          </w:tcPr>
          <w:p>
            <w:pPr>
              <w:pStyle w:val="MDPI42tablebody"/>
              <w:jc w:val="center"/>
            </w:pPr>
            <m:oMath>
              <m:r>
                <m:rPr>
                  <m:sty m:val="p"/>
                </m:rPr>
                <m:t>+</m:t>
              </m:r>
              <m:r>
                <m:t>4.45</m:t>
              </m:r>
            </m:oMath>
            <w:r>
              <w:t xml:space="preserve"> </w:t>
            </w:r>
            <w:r>
              <w:t xml:space="preserve">(0.36)</w:t>
            </w:r>
          </w:p>
        </w:tc>
        <w:tc>
          <w:tcPr>
            <w:vAlign w:val="center"/>
          </w:tcPr>
          <w:p>
            <w:pPr>
              <w:pStyle w:val="MDPI42tablebody"/>
              <w:jc w:val="center"/>
            </w:pPr>
            <m:oMath>
              <m:r>
                <m:rPr>
                  <m:sty m:val="p"/>
                </m:rPr>
                <m:t>+</m:t>
              </m:r>
              <m:r>
                <m:t>3.19</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0.83</m:t>
              </m:r>
            </m:oMath>
            <w:r>
              <w:t xml:space="preserve">​</w:t>
            </w:r>
          </w:p>
        </w:tc>
      </w:tr>
      <w:tr>
        <w:trPr>
          <w:cantSplit/>
        </w:trPr>
        <w:tc>
          <w:tcPr>
            <w:vAlign w:val="center"/>
          </w:tcPr>
          <w:p>
            <w:pPr>
              <w:pStyle w:val="MDPI42tablebody"/>
              <w:jc w:val="center"/>
            </w:pPr>
            <w:r>
              <w:rPr>
                <w:rStyle w:val="VerbatimChar"/>
              </w:rPr>
              <w:t xml:space="preserve">uLamp_dead</w:t>
            </w:r>
          </w:p>
        </w:tc>
        <w:tc>
          <w:tcPr>
            <w:vAlign w:val="center"/>
          </w:tcPr>
          <w:p>
            <w:pPr>
              <w:pStyle w:val="MDPI42tablebody"/>
              <w:jc w:val="center"/>
            </w:pPr>
            <m:oMath>
              <m:r>
                <m:rPr>
                  <m:sty m:val="p"/>
                </m:rPr>
                <m:t>+</m:t>
              </m:r>
              <m:r>
                <m:t>3.50</m:t>
              </m:r>
            </m:oMath>
            <w:r>
              <w:t xml:space="preserve"> </w:t>
            </w:r>
            <w:r>
              <w:t xml:space="preserve">(1.64)</w:t>
            </w:r>
          </w:p>
        </w:tc>
        <w:tc>
          <w:tcPr>
            <w:vAlign w:val="center"/>
          </w:tcPr>
          <w:p>
            <w:pPr>
              <w:pStyle w:val="MDPI42tablebody"/>
              <w:jc w:val="center"/>
            </w:pPr>
            <m:oMath>
              <m:r>
                <m:rPr>
                  <m:sty m:val="p"/>
                </m:rPr>
                <m:t>+</m:t>
              </m:r>
              <m:r>
                <m:t>6.33</m:t>
              </m:r>
            </m:oMath>
            <w:r>
              <w:t xml:space="preserve"> </w:t>
            </w:r>
            <w:r>
              <w:t xml:space="preserve">(0.29)</w:t>
            </w:r>
          </w:p>
        </w:tc>
        <w:tc>
          <w:tcPr>
            <w:vAlign w:val="center"/>
          </w:tcPr>
          <w:p>
            <w:pPr>
              <w:pStyle w:val="MDPI42tablebody"/>
              <w:jc w:val="center"/>
            </w:pPr>
            <m:oMath>
              <m:r>
                <m:rPr>
                  <m:sty m:val="p"/>
                </m:rPr>
                <m:t>+</m:t>
              </m:r>
              <m:r>
                <m:t>2.82</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2.70</m:t>
              </m:r>
            </m:oMath>
            <w:r>
              <w:t xml:space="preserve">​</w:t>
            </w:r>
          </w:p>
        </w:tc>
      </w:tr>
      <w:tr>
        <w:trPr>
          <w:cantSplit/>
        </w:trPr>
        <w:tc>
          <w:tcPr>
            <w:vAlign w:val="center"/>
          </w:tcPr>
          <w:p>
            <w:pPr>
              <w:pStyle w:val="MDPI42tablebody"/>
              <w:jc w:val="center"/>
            </w:pPr>
            <w:r>
              <w:rPr>
                <w:rStyle w:val="VerbatimChar"/>
              </w:rPr>
              <w:t xml:space="preserve">t_in_stuck</w:t>
            </w:r>
          </w:p>
        </w:tc>
        <w:tc>
          <w:tcPr>
            <w:vAlign w:val="center"/>
          </w:tcPr>
          <w:p>
            <w:pPr>
              <w:pStyle w:val="MDPI42tablebody"/>
              <w:jc w:val="center"/>
            </w:pPr>
            <m:oMath>
              <m:r>
                <m:rPr>
                  <m:sty m:val="p"/>
                </m:rPr>
                <m:t>+</m:t>
              </m:r>
              <m:r>
                <m:t>3.06</m:t>
              </m:r>
            </m:oMath>
            <w:r>
              <w:t xml:space="preserve"> </w:t>
            </w:r>
            <w:r>
              <w:t xml:space="preserve">(1.18)</w:t>
            </w:r>
          </w:p>
        </w:tc>
        <w:tc>
          <w:tcPr>
            <w:vAlign w:val="center"/>
          </w:tcPr>
          <w:p>
            <w:pPr>
              <w:pStyle w:val="MDPI42tablebody"/>
              <w:jc w:val="center"/>
            </w:pPr>
            <m:oMath>
              <m:r>
                <m:rPr>
                  <m:sty m:val="p"/>
                </m:rPr>
                <m:t>+</m:t>
              </m:r>
              <m:r>
                <m:t>4.42</m:t>
              </m:r>
            </m:oMath>
            <w:r>
              <w:t xml:space="preserve"> </w:t>
            </w:r>
            <w:r>
              <w:t xml:space="preserve">(0.29)</w:t>
            </w:r>
          </w:p>
        </w:tc>
        <w:tc>
          <w:tcPr>
            <w:vAlign w:val="center"/>
          </w:tcPr>
          <w:p>
            <w:pPr>
              <w:pStyle w:val="MDPI42tablebody"/>
              <w:jc w:val="center"/>
            </w:pPr>
            <m:oMath>
              <m:r>
                <m:rPr>
                  <m:sty m:val="p"/>
                </m:rPr>
                <m:t>+</m:t>
              </m:r>
              <m:r>
                <m:t>1.36</m:t>
              </m:r>
            </m:oMath>
            <w:r>
              <w:t xml:space="preserve">​</w:t>
            </w:r>
          </w:p>
        </w:tc>
        <w:tc>
          <w:tcPr>
            <w:vAlign w:val="center"/>
          </w:tcPr>
          <w:p>
            <w:pPr>
              <w:pStyle w:val="MDPI42tablebody"/>
              <w:jc w:val="center"/>
            </w:pPr>
            <w:r>
              <w:t xml:space="preserve">17/20</w:t>
            </w:r>
          </w:p>
        </w:tc>
        <w:tc>
          <w:tcPr>
            <w:vAlign w:val="center"/>
          </w:tcPr>
          <w:p>
            <w:pPr>
              <w:pStyle w:val="MDPI42tablebody"/>
              <w:jc w:val="center"/>
            </w:pPr>
            <m:oMath>
              <m:r>
                <m:rPr>
                  <m:sty m:val="p"/>
                </m:rPr>
                <m:t>+</m:t>
              </m:r>
              <m:r>
                <m:t>0.79</m:t>
              </m:r>
            </m:oMath>
            <w:r>
              <w:t xml:space="preserve">​</w:t>
            </w:r>
          </w:p>
        </w:tc>
      </w:tr>
      <w:tr>
        <w:trPr>
          <w:cantSplit/>
        </w:trPr>
        <w:tc>
          <w:tcPr>
            <w:vAlign w:val="center"/>
          </w:tcPr>
          <w:p>
            <w:pPr>
              <w:pStyle w:val="MDPI42tablebody"/>
              <w:jc w:val="center"/>
            </w:pPr>
            <w:r>
              <w:rPr>
                <w:rStyle w:val="VerbatimChar"/>
              </w:rPr>
              <w:t xml:space="preserve">t_in_offset</w:t>
            </w:r>
          </w:p>
        </w:tc>
        <w:tc>
          <w:tcPr>
            <w:vAlign w:val="center"/>
          </w:tcPr>
          <w:p>
            <w:pPr>
              <w:pStyle w:val="MDPI42tablebody"/>
              <w:jc w:val="center"/>
            </w:pPr>
            <m:oMath>
              <m:r>
                <m:rPr>
                  <m:sty m:val="p"/>
                </m:rPr>
                <m:t>+</m:t>
              </m:r>
              <m:r>
                <m:t>3.67</m:t>
              </m:r>
            </m:oMath>
            <w:r>
              <w:t xml:space="preserve"> </w:t>
            </w:r>
            <w:r>
              <w:t xml:space="preserve">(1.16)</w:t>
            </w:r>
          </w:p>
        </w:tc>
        <w:tc>
          <w:tcPr>
            <w:vAlign w:val="center"/>
          </w:tcPr>
          <w:p>
            <w:pPr>
              <w:pStyle w:val="MDPI42tablebody"/>
              <w:jc w:val="center"/>
            </w:pPr>
            <m:oMath>
              <m:r>
                <m:rPr>
                  <m:sty m:val="p"/>
                </m:rPr>
                <m:t>+</m:t>
              </m:r>
              <m:r>
                <m:t>4.47</m:t>
              </m:r>
            </m:oMath>
            <w:r>
              <w:t xml:space="preserve"> </w:t>
            </w:r>
            <w:r>
              <w:t xml:space="preserve">(0.39)</w:t>
            </w:r>
          </w:p>
        </w:tc>
        <w:tc>
          <w:tcPr>
            <w:vAlign w:val="center"/>
          </w:tcPr>
          <w:p>
            <w:pPr>
              <w:pStyle w:val="MDPI42tablebody"/>
              <w:jc w:val="center"/>
            </w:pPr>
            <m:oMath>
              <m:r>
                <m:rPr>
                  <m:sty m:val="p"/>
                </m:rPr>
                <m:t>+</m:t>
              </m:r>
              <m:r>
                <m:t>0.80</m:t>
              </m:r>
            </m:oMath>
            <w:r>
              <w:t xml:space="preserve">​</w:t>
            </w:r>
          </w:p>
        </w:tc>
        <w:tc>
          <w:tcPr>
            <w:vAlign w:val="center"/>
          </w:tcPr>
          <w:p>
            <w:pPr>
              <w:pStyle w:val="MDPI42tablebody"/>
              <w:jc w:val="center"/>
            </w:pPr>
            <w:r>
              <w:t xml:space="preserve">17/20</w:t>
            </w:r>
          </w:p>
        </w:tc>
        <w:tc>
          <w:tcPr>
            <w:vAlign w:val="center"/>
          </w:tcPr>
          <w:p>
            <w:pPr>
              <w:pStyle w:val="MDPI42tablebody"/>
              <w:jc w:val="center"/>
            </w:pPr>
            <m:oMath>
              <m:r>
                <m:rPr>
                  <m:sty m:val="p"/>
                </m:rPr>
                <m:t>+</m:t>
              </m:r>
              <m:r>
                <m:t>0.84</m:t>
              </m:r>
            </m:oMath>
            <w:r>
              <w:t xml:space="preserve">​</w:t>
            </w:r>
          </w:p>
        </w:tc>
      </w:tr>
    </w:tbl>
    <w:bookmarkEnd w:id="66"/>
    <w:bookmarkEnd w:id="67"/>
    <w:bookmarkStart w:id="73" w:name="sec:res-sens"/>
    <w:p>
      <w:pPr>
        <w:pStyle w:val="MDPI22heading2"/>
        <w:keepNext/>
      </w:pPr>
      <w:r>
        <w:t xml:space="preserve">3.8. </w:t>
      </w:r>
      <w:r>
        <w:t xml:space="preserve">Sensitivity to design parameters and to prices</w:t>
      </w:r>
    </w:p>
    <w:p>
      <w:pPr>
        <w:pStyle w:val="MDPI31text"/>
      </w:pPr>
      <w:r>
        <w:t xml:space="preserve">Perturbing the identified coefficients degrades the closed loop non-uniformly</w:t>
      </w:r>
      <w:r>
        <w:t xml:space="preserve"> </w:t>
      </w:r>
      <w:r>
        <w:t xml:space="preserve">(Table </w:t>
      </w:r>
      <w:hyperlink w:anchor="tab:sens">
        <w:r>
          <w:rPr>
            <w:rStyle w:val="Hyperlink"/>
          </w:rPr>
          <w:t xml:space="preserve">13</w:t>
        </w:r>
      </w:hyperlink>
      <w:r>
        <w:t xml:space="preserve">, Figure </w:t>
      </w:r>
      <w:hyperlink w:anchor="fig:perturb">
        <w:r>
          <w:rPr>
            <w:rStyle w:val="Hyperlink"/>
          </w:rPr>
          <w:t xml:space="preserve">4</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8.13</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Either way, the sensitivity is</w:t>
      </w:r>
      <w:r>
        <w:t xml:space="preserve"> </w:t>
      </w:r>
      <m:oMath>
        <m:r>
          <m:t>4.5</m:t>
        </m:r>
      </m:oMath>
      <w:r>
        <w:t xml:space="preserve">–</w:t>
      </w:r>
      <m:oMath>
        <m:r>
          <m:t>5.6</m:t>
        </m:r>
      </m:oMath>
      <w:r>
        <w:t xml:space="preserve"> </w:t>
      </w:r>
      <w:r>
        <w:t xml:space="preserve">times larger than the value of</w:t>
      </w:r>
      <w:r>
        <w:t xml:space="preserve"> </w:t>
      </w:r>
      <m:oMath>
        <m:r>
          <m:t>2.7</m:t>
        </m:r>
      </m:oMath>
      <w:r>
        <w:t xml:space="preserve"> </w:t>
      </w:r>
      <w:r>
        <w:t xml:space="preserve">EUR m</w:t>
      </w:r>
      <m:oMath>
        <m:sSup>
          <m:e>
            <m:r>
              <m:t>​</m:t>
            </m:r>
          </m:e>
          <m:sup>
            <m:r>
              <m:rPr>
                <m:sty m:val="p"/>
              </m:rPr>
              <m:t>−</m:t>
            </m:r>
            <m:r>
              <m:t>2</m:t>
            </m:r>
          </m:sup>
        </m:sSup>
      </m:oMath>
      <w:r>
        <w:t xml:space="preserve"> </w:t>
      </w:r>
      <w:r>
        <w:t xml:space="preserve">claimed in the superseded</w:t>
      </w:r>
      <w:r>
        <w:t xml:space="preserve"> </w:t>
      </w:r>
      <w:r>
        <w:t xml:space="preserve">manuscript.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9570</w:t>
      </w:r>
      <w:r>
        <w:t xml:space="preserve"> </w:t>
      </w:r>
      <w:r>
        <w:t xml:space="preserve">at</w:t>
      </w:r>
      <w:r>
        <w:t xml:space="preserve"> </w:t>
      </w:r>
      <m:oMath>
        <m:r>
          <m:t>0.20</m:t>
        </m:r>
      </m:oMath>
      <w:r>
        <w:t xml:space="preserve">) but</w:t>
      </w:r>
      <w:r>
        <w:t xml:space="preserve"> </w:t>
      </w:r>
      <w:r>
        <w:rPr>
          <w:i/>
          <w:iCs/>
        </w:rPr>
        <w:t xml:space="preserve">not</w:t>
      </w:r>
      <w:r>
        <w:t xml:space="preserve"> </w:t>
      </w:r>
      <w:r>
        <w:t xml:space="preserve">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w:t>
      </w:r>
      <w:r>
        <w:t xml:space="preserve"> </w:t>
      </w:r>
      <w:r>
        <w:rPr>
          <w:i/>
          <w:iCs/>
        </w:rPr>
        <w:t xml:space="preserve">neither raw-library controller is in it</w:t>
      </w:r>
      <w:r>
        <w:t xml:space="preserve">.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One provenance defect must be disclosed here. The supporting harness that generates the</w:t>
      </w:r>
      <w:r>
        <w:t xml:space="preserve"> </w:t>
      </w:r>
      <w:r>
        <w:t xml:space="preserve">design and sensitivity blocks hard-codes the original objective in every rollout call; the</w:t>
      </w:r>
      <w:r>
        <w:t xml:space="preserve"> </w:t>
      </w:r>
      <w:r>
        <w:t xml:space="preserve">objective flag is consumed only by the main and mechanism blocks, so the reruns stored</w:t>
      </w:r>
      <w:r>
        <w:t xml:space="preserve"> </w:t>
      </w:r>
      <w:r>
        <w:t xml:space="preserve">under a priced label in this block are</w:t>
      </w:r>
      <w:r>
        <w:t xml:space="preserve"> </w:t>
      </w:r>
      <w:r>
        <w:rPr>
          <w:i/>
          <w:iCs/>
        </w:rPr>
        <w:t xml:space="preserve">not</w:t>
      </w:r>
      <w:r>
        <w:t xml:space="preserve"> </w:t>
      </w:r>
      <w:r>
        <w:t xml:space="preserve">priced. The evidence is direct rather</w:t>
      </w:r>
      <w:r>
        <w:t xml:space="preserve"> </w:t>
      </w:r>
      <w:r>
        <w:t xml:space="preserve">than inferential.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w:t>
      </w:r>
      <w:r>
        <w:t xml:space="preserve"> </w:t>
      </w:r>
      <w:r>
        <w:rPr>
          <w:i/>
          <w:iCs/>
        </w:rPr>
        <w:t xml:space="preserve">all</w:t>
      </w:r>
      <w:r>
        <w:t xml:space="preserve"> </w:t>
      </w:r>
      <w:r>
        <w:t xml:space="preserve">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8" w:name="tab:sens"/>
    <w:p>
      <w:pPr>
        <w:pStyle w:val="MDPI41tablecaption"/>
        <w:keepNext/>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dxa" w:w="792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320"/>
        <w:gridCol w:w="1320"/>
        <w:gridCol w:w="1320"/>
        <w:gridCol w:w="1320"/>
        <w:gridCol w:w="1320"/>
        <w:gridCol w:w="1320"/>
      </w:tblGrid>
      <w:tr>
        <w:trPr>
          <w:tblHeader w:val="on"/>
          <w:cantSplit/>
        </w:trPr>
        <w:tc>
          <w:tcPr>
            <w:vAlign w:val="center"/>
            <w:tcBorders>
              <w:bottom w:val="single" w:sz="8" w:space="0" w:color="000000"/>
            </w:tcBorders>
          </w:tcPr>
          <w:p>
            <w:pPr>
              <w:pStyle w:val="MDPI42tablebody"/>
              <w:jc w:val="center"/>
            </w:pPr>
            <w:r>
              <w:rPr>
                <w:b/>
              </w:rPr>
              <w:t xml:space="preserve">Perturbation</w:t>
            </w:r>
          </w:p>
        </w:tc>
        <w:tc>
          <w:tcPr>
            <w:vAlign w:val="center"/>
            <w:tcBorders>
              <w:bottom w:val="single" w:sz="8" w:space="0" w:color="000000"/>
            </w:tcBorders>
          </w:tcPr>
          <w:p>
            <w:pPr>
              <w:pStyle w:val="MDPI42tablebody"/>
              <w:jc w:val="center"/>
            </w:pPr>
            <w:r>
              <w:rPr>
                <w:b/>
              </w:rPr>
              <w:t xml:space="preserve">Mean</w:t>
            </w:r>
          </w:p>
        </w:tc>
        <w:tc>
          <w:tcPr>
            <w:vAlign w:val="center"/>
            <w:tcBorders>
              <w:bottom w:val="single" w:sz="8" w:space="0" w:color="000000"/>
            </w:tcBorders>
          </w:tcPr>
          <w:p>
            <w:pPr>
              <w:pStyle w:val="MDPI42tablebody"/>
              <w:jc w:val="center"/>
            </w:pPr>
            <w:r>
              <w:rPr>
                <w:b/>
              </w:rPr>
              <w:t xml:space="preserve">SD</w:t>
            </w:r>
          </w:p>
        </w:tc>
        <w:tc>
          <w:tcPr>
            <w:vAlign w:val="center"/>
            <w:tcBorders>
              <w:bottom w:val="single" w:sz="8" w:space="0" w:color="000000"/>
            </w:tcBorders>
          </w:tcPr>
          <w:p>
            <w:pPr>
              <w:pStyle w:val="MDPI42tablebody"/>
              <w:jc w:val="center"/>
            </w:pPr>
            <w:r>
              <w:rPr>
                <w:b/>
              </w:rPr>
              <w:t xml:space="preserve">Median</w:t>
            </w:r>
          </w:p>
        </w:tc>
        <w:tc>
          <w:tcPr>
            <w:vAlign w:val="center"/>
            <w:tcBorders>
              <w:bottom w:val="single" w:sz="8" w:space="0" w:color="000000"/>
            </w:tcBorders>
          </w:tcPr>
          <w:p>
            <w:pPr>
              <w:pStyle w:val="MDPI42tablebody"/>
              <w:jc w:val="center"/>
            </w:pPr>
            <w:r>
              <w:rPr>
                <w:b/>
              </w:rPr>
              <w:t xml:space="preserve">Min</w:t>
            </w:r>
          </w:p>
        </w:tc>
        <w:tc>
          <w:tcPr>
            <w:vAlign w:val="center"/>
            <w:tcBorders>
              <w:bottom w:val="single" w:sz="8" w:space="0" w:color="000000"/>
            </w:tcBorders>
          </w:tcPr>
          <w:p>
            <w:pPr>
              <w:pStyle w:val="MDPI42tablebody"/>
              <w:jc w:val="center"/>
            </w:pPr>
            <w:r>
              <w:rPr>
                <w:b/>
              </w:rPr>
              <w:t xml:space="preserve">Early terminations</w:t>
            </w:r>
          </w:p>
        </w:tc>
      </w:tr>
      <w:tr>
        <w:trPr>
          <w:cantSplit/>
        </w:trPr>
        <w:tc>
          <w:tcPr>
            <w:vAlign w:val="center"/>
          </w:tcPr>
          <w:p>
            <w:pPr>
              <w:pStyle w:val="MDPI42tablebody"/>
              <w:jc w:val="center"/>
            </w:pPr>
            <w:r>
              <w:t xml:space="preserve">0.02</w:t>
            </w:r>
          </w:p>
        </w:tc>
        <w:tc>
          <w:tcPr>
            <w:vAlign w:val="center"/>
          </w:tcPr>
          <w:p>
            <w:pPr>
              <w:pStyle w:val="MDPI42tablebody"/>
              <w:jc w:val="center"/>
            </w:pPr>
            <m:oMath>
              <m:r>
                <m:rPr>
                  <m:sty m:val="p"/>
                </m:rPr>
                <m:t>+</m:t>
              </m:r>
              <m:r>
                <m:t>4.11</m:t>
              </m:r>
            </m:oMath>
            <w:r>
              <w:t xml:space="preserve">​</w:t>
            </w:r>
          </w:p>
        </w:tc>
        <w:tc>
          <w:tcPr>
            <w:vAlign w:val="center"/>
          </w:tcPr>
          <w:p>
            <w:pPr>
              <w:pStyle w:val="MDPI42tablebody"/>
              <w:jc w:val="center"/>
            </w:pPr>
            <w:r>
              <w:t xml:space="preserve">1.29</w:t>
            </w:r>
          </w:p>
        </w:tc>
        <w:tc>
          <w:tcPr>
            <w:vAlign w:val="center"/>
          </w:tcPr>
          <w:p>
            <w:pPr>
              <w:pStyle w:val="MDPI42tablebody"/>
              <w:jc w:val="center"/>
            </w:pPr>
            <m:oMath>
              <m:r>
                <m:rPr>
                  <m:sty m:val="p"/>
                </m:rPr>
                <m:t>+</m:t>
              </m:r>
              <m:r>
                <m:t>4.47</m:t>
              </m:r>
            </m:oMath>
            <w:r>
              <w:t xml:space="preserve">​</w:t>
            </w:r>
          </w:p>
        </w:tc>
        <w:tc>
          <w:tcPr>
            <w:vAlign w:val="center"/>
          </w:tcPr>
          <w:p>
            <w:pPr>
              <w:pStyle w:val="MDPI42tablebody"/>
              <w:jc w:val="center"/>
            </w:pPr>
            <m:oMath>
              <m:r>
                <m:rPr>
                  <m:sty m:val="p"/>
                </m:rPr>
                <m:t>+</m:t>
              </m:r>
              <m:r>
                <m:t>1.25</m:t>
              </m:r>
            </m:oMath>
            <w:r>
              <w:t xml:space="preserve">​</w:t>
            </w:r>
          </w:p>
        </w:tc>
        <w:tc>
          <w:tcPr>
            <w:vAlign w:val="center"/>
          </w:tcPr>
          <w:p>
            <w:pPr>
              <w:pStyle w:val="MDPI42tablebody"/>
              <w:jc w:val="center"/>
            </w:pPr>
            <w:r>
              <w:t xml:space="preserve">0/40</w:t>
            </w:r>
          </w:p>
        </w:tc>
      </w:tr>
      <w:tr>
        <w:trPr>
          <w:cantSplit/>
        </w:trPr>
        <w:tc>
          <w:tcPr>
            <w:vAlign w:val="center"/>
          </w:tcPr>
          <w:p>
            <w:pPr>
              <w:pStyle w:val="MDPI42tablebody"/>
              <w:jc w:val="center"/>
            </w:pPr>
            <w:r>
              <w:t xml:space="preserve">0.05</w:t>
            </w:r>
          </w:p>
        </w:tc>
        <w:tc>
          <w:tcPr>
            <w:vAlign w:val="center"/>
          </w:tcPr>
          <w:p>
            <w:pPr>
              <w:pStyle w:val="MDPI42tablebody"/>
              <w:jc w:val="center"/>
            </w:pPr>
            <m:oMath>
              <m:r>
                <m:rPr>
                  <m:sty m:val="p"/>
                </m:rPr>
                <m:t>+</m:t>
              </m:r>
              <m:r>
                <m:t>4.03</m:t>
              </m:r>
            </m:oMath>
            <w:r>
              <w:t xml:space="preserve">​</w:t>
            </w:r>
          </w:p>
        </w:tc>
        <w:tc>
          <w:tcPr>
            <w:vAlign w:val="center"/>
          </w:tcPr>
          <w:p>
            <w:pPr>
              <w:pStyle w:val="MDPI42tablebody"/>
              <w:jc w:val="center"/>
            </w:pPr>
            <w:r>
              <w:t xml:space="preserve">2.06</w:t>
            </w:r>
          </w:p>
        </w:tc>
        <w:tc>
          <w:tcPr>
            <w:vAlign w:val="center"/>
          </w:tcPr>
          <w:p>
            <w:pPr>
              <w:pStyle w:val="MDPI42tablebody"/>
              <w:jc w:val="center"/>
            </w:pPr>
            <m:oMath>
              <m:r>
                <m:rPr>
                  <m:sty m:val="p"/>
                </m:rPr>
                <m:t>+</m:t>
              </m:r>
              <m:r>
                <m:t>4.35</m:t>
              </m:r>
            </m:oMath>
            <w:r>
              <w:t xml:space="preserve">​</w:t>
            </w:r>
          </w:p>
        </w:tc>
        <w:tc>
          <w:tcPr>
            <w:vAlign w:val="center"/>
          </w:tcPr>
          <w:p>
            <w:pPr>
              <w:pStyle w:val="MDPI42tablebody"/>
              <w:jc w:val="center"/>
            </w:pPr>
            <m:oMath>
              <m:r>
                <m:rPr>
                  <m:sty m:val="p"/>
                </m:rPr>
                <m:t>−</m:t>
              </m:r>
              <m:r>
                <m:t>1.19</m:t>
              </m:r>
            </m:oMath>
            <w:r>
              <w:t xml:space="preserve">​</w:t>
            </w:r>
          </w:p>
        </w:tc>
        <w:tc>
          <w:tcPr>
            <w:vAlign w:val="center"/>
          </w:tcPr>
          <w:p>
            <w:pPr>
              <w:pStyle w:val="MDPI42tablebody"/>
              <w:jc w:val="center"/>
            </w:pPr>
            <w:r>
              <w:t xml:space="preserve">0/40</w:t>
            </w:r>
          </w:p>
        </w:tc>
      </w:tr>
      <w:tr>
        <w:trPr>
          <w:cantSplit/>
        </w:trPr>
        <w:tc>
          <w:tcPr>
            <w:vAlign w:val="center"/>
          </w:tcPr>
          <w:p>
            <w:pPr>
              <w:pStyle w:val="MDPI42tablebody"/>
              <w:jc w:val="center"/>
            </w:pPr>
            <w:r>
              <w:t xml:space="preserve">0.10</w:t>
            </w:r>
          </w:p>
        </w:tc>
        <w:tc>
          <w:tcPr>
            <w:vAlign w:val="center"/>
          </w:tcPr>
          <w:p>
            <w:pPr>
              <w:pStyle w:val="MDPI42tablebody"/>
              <w:jc w:val="center"/>
            </w:pPr>
            <m:oMath>
              <m:r>
                <m:rPr>
                  <m:sty m:val="p"/>
                </m:rPr>
                <m:t>+</m:t>
              </m:r>
              <m:r>
                <m:t>2.96</m:t>
              </m:r>
            </m:oMath>
            <w:r>
              <w:t xml:space="preserve">​</w:t>
            </w:r>
          </w:p>
        </w:tc>
        <w:tc>
          <w:tcPr>
            <w:vAlign w:val="center"/>
          </w:tcPr>
          <w:p>
            <w:pPr>
              <w:pStyle w:val="MDPI42tablebody"/>
              <w:jc w:val="center"/>
            </w:pPr>
            <w:r>
              <w:t xml:space="preserve">7.57</w:t>
            </w:r>
          </w:p>
        </w:tc>
        <w:tc>
          <w:tcPr>
            <w:vAlign w:val="center"/>
          </w:tcPr>
          <w:p>
            <w:pPr>
              <w:pStyle w:val="MDPI42tablebody"/>
              <w:jc w:val="center"/>
            </w:pPr>
            <m:oMath>
              <m:r>
                <m:rPr>
                  <m:sty m:val="p"/>
                </m:rPr>
                <m:t>+</m:t>
              </m:r>
              <m:r>
                <m:t>5.40</m:t>
              </m:r>
            </m:oMath>
            <w:r>
              <w:t xml:space="preserve">​</w:t>
            </w:r>
          </w:p>
        </w:tc>
        <w:tc>
          <w:tcPr>
            <w:vAlign w:val="center"/>
          </w:tcPr>
          <w:p>
            <w:pPr>
              <w:pStyle w:val="MDPI42tablebody"/>
              <w:jc w:val="center"/>
            </w:pPr>
            <m:oMath>
              <m:r>
                <m:rPr>
                  <m:sty m:val="p"/>
                </m:rPr>
                <m:t>−</m:t>
              </m:r>
              <m:r>
                <m:t>34.18</m:t>
              </m:r>
            </m:oMath>
            <w:r>
              <w:t xml:space="preserve">​</w:t>
            </w:r>
          </w:p>
        </w:tc>
        <w:tc>
          <w:tcPr>
            <w:vAlign w:val="center"/>
          </w:tcPr>
          <w:p>
            <w:pPr>
              <w:pStyle w:val="MDPI42tablebody"/>
              <w:jc w:val="center"/>
            </w:pPr>
            <w:r>
              <w:t xml:space="preserve">0/40</w:t>
            </w:r>
          </w:p>
        </w:tc>
      </w:tr>
      <w:tr>
        <w:trPr>
          <w:cantSplit/>
        </w:trPr>
        <w:tc>
          <w:tcPr>
            <w:vAlign w:val="center"/>
          </w:tcPr>
          <w:p>
            <w:pPr>
              <w:pStyle w:val="MDPI42tablebody"/>
              <w:jc w:val="center"/>
            </w:pPr>
            <w:r>
              <w:t xml:space="preserve">0.15</w:t>
            </w:r>
          </w:p>
        </w:tc>
        <w:tc>
          <w:tcPr>
            <w:vAlign w:val="center"/>
          </w:tcPr>
          <w:p>
            <w:pPr>
              <w:pStyle w:val="MDPI42tablebody"/>
              <w:jc w:val="center"/>
            </w:pPr>
            <m:oMath>
              <m:r>
                <m:rPr>
                  <m:sty m:val="p"/>
                </m:rPr>
                <m:t>−</m:t>
              </m:r>
              <m:r>
                <m:t>3.86</m:t>
              </m:r>
            </m:oMath>
            <w:r>
              <w:t xml:space="preserve">​</w:t>
            </w:r>
          </w:p>
        </w:tc>
        <w:tc>
          <w:tcPr>
            <w:vAlign w:val="center"/>
          </w:tcPr>
          <w:p>
            <w:pPr>
              <w:pStyle w:val="MDPI42tablebody"/>
              <w:jc w:val="center"/>
            </w:pPr>
            <w:r>
              <w:t xml:space="preserve">14.27</w:t>
            </w:r>
          </w:p>
        </w:tc>
        <w:tc>
          <w:tcPr>
            <w:vAlign w:val="center"/>
          </w:tcPr>
          <w:p>
            <w:pPr>
              <w:pStyle w:val="MDPI42tablebody"/>
              <w:jc w:val="center"/>
            </w:pPr>
            <m:oMath>
              <m:r>
                <m:rPr>
                  <m:sty m:val="p"/>
                </m:rPr>
                <m:t>+</m:t>
              </m:r>
              <m:r>
                <m:t>1.12</m:t>
              </m:r>
            </m:oMath>
            <w:r>
              <w:t xml:space="preserve">​</w:t>
            </w:r>
          </w:p>
        </w:tc>
        <w:tc>
          <w:tcPr>
            <w:vAlign w:val="center"/>
          </w:tcPr>
          <w:p>
            <w:pPr>
              <w:pStyle w:val="MDPI42tablebody"/>
              <w:jc w:val="center"/>
            </w:pPr>
            <m:oMath>
              <m:r>
                <m:rPr>
                  <m:sty m:val="p"/>
                </m:rPr>
                <m:t>−</m:t>
              </m:r>
              <m:r>
                <m:t>42.87</m:t>
              </m:r>
            </m:oMath>
            <w:r>
              <w:t xml:space="preserve">​</w:t>
            </w:r>
          </w:p>
        </w:tc>
        <w:tc>
          <w:tcPr>
            <w:vAlign w:val="center"/>
          </w:tcPr>
          <w:p>
            <w:pPr>
              <w:pStyle w:val="MDPI42tablebody"/>
              <w:jc w:val="center"/>
            </w:pPr>
            <w:r>
              <w:t xml:space="preserve">4/40</w:t>
            </w:r>
          </w:p>
        </w:tc>
      </w:tr>
      <w:tr>
        <w:trPr>
          <w:cantSplit/>
        </w:trPr>
        <w:tc>
          <w:tcPr>
            <w:vAlign w:val="center"/>
          </w:tcPr>
          <w:p>
            <w:pPr>
              <w:pStyle w:val="MDPI42tablebody"/>
              <w:jc w:val="center"/>
            </w:pPr>
            <w:r>
              <w:t xml:space="preserve">0.20</w:t>
            </w:r>
          </w:p>
        </w:tc>
        <w:tc>
          <w:tcPr>
            <w:vAlign w:val="center"/>
          </w:tcPr>
          <w:p>
            <w:pPr>
              <w:pStyle w:val="MDPI42tablebody"/>
              <w:jc w:val="center"/>
            </w:pPr>
            <m:oMath>
              <m:r>
                <m:rPr>
                  <m:sty m:val="p"/>
                </m:rPr>
                <m:t>−</m:t>
              </m:r>
              <m:r>
                <m:t>8.13</m:t>
              </m:r>
            </m:oMath>
            <w:r>
              <w:t xml:space="preserve">​</w:t>
            </w:r>
          </w:p>
        </w:tc>
        <w:tc>
          <w:tcPr>
            <w:vAlign w:val="center"/>
          </w:tcPr>
          <w:p>
            <w:pPr>
              <w:pStyle w:val="MDPI42tablebody"/>
              <w:jc w:val="center"/>
            </w:pPr>
            <w:r>
              <w:t xml:space="preserve">18.39</w:t>
            </w:r>
          </w:p>
        </w:tc>
        <w:tc>
          <w:tcPr>
            <w:vAlign w:val="center"/>
          </w:tcPr>
          <w:p>
            <w:pPr>
              <w:pStyle w:val="MDPI42tablebody"/>
              <w:jc w:val="center"/>
            </w:pPr>
            <m:oMath>
              <m:r>
                <m:rPr>
                  <m:sty m:val="p"/>
                </m:rPr>
                <m:t>−</m:t>
              </m:r>
              <m:r>
                <m:t>0.31</m:t>
              </m:r>
            </m:oMath>
            <w:r>
              <w:t xml:space="preserve">​</w:t>
            </w:r>
          </w:p>
        </w:tc>
        <w:tc>
          <w:tcPr>
            <w:vAlign w:val="center"/>
          </w:tcPr>
          <w:p>
            <w:pPr>
              <w:pStyle w:val="MDPI42tablebody"/>
              <w:jc w:val="center"/>
            </w:pPr>
            <m:oMath>
              <m:r>
                <m:rPr>
                  <m:sty m:val="p"/>
                </m:rPr>
                <m:t>−</m:t>
              </m:r>
              <m:r>
                <m:t>42.16</m:t>
              </m:r>
            </m:oMath>
            <w:r>
              <w:t xml:space="preserve">​</w:t>
            </w:r>
          </w:p>
        </w:tc>
        <w:tc>
          <w:tcPr>
            <w:vAlign w:val="center"/>
          </w:tcPr>
          <w:p>
            <w:pPr>
              <w:pStyle w:val="MDPI42tablebody"/>
              <w:jc w:val="center"/>
            </w:pPr>
            <w:r>
              <w:t xml:space="preserve">12/40</w:t>
            </w:r>
          </w:p>
        </w:tc>
      </w:tr>
      <w:tr>
        <w:trPr>
          <w:cantSplit/>
        </w:trPr>
        <w:tc>
          <w:tcPr>
            <w:vAlign w:val="center"/>
          </w:tcPr>
          <w:p>
            <w:pPr>
              <w:pStyle w:val="MDPI42tablebody"/>
              <w:jc w:val="center"/>
            </w:pPr>
            <w:r>
              <w:t xml:space="preserve">Span</w:t>
            </w:r>
          </w:p>
        </w:tc>
        <w:tc>
          <w:tcPr>
            <w:vAlign w:val="center"/>
          </w:tcPr>
          <w:p>
            <w:pPr>
              <w:pStyle w:val="MDPI42tablebody"/>
              <w:jc w:val="center"/>
            </w:pPr>
            <w:r>
              <w:t xml:space="preserve">12.24</w:t>
            </w:r>
          </w:p>
        </w:tc>
        <w:tc>
          <w:tcPr>
            <w:vAlign w:val="center"/>
          </w:tcPr>
          <w:p>
            <w:pPr>
              <w:pStyle w:val="MDPI42tablebody"/>
              <w:jc w:val="center"/>
            </w:pPr>
            <w:r>
              <w:t xml:space="preserve">—</w:t>
            </w:r>
          </w:p>
        </w:tc>
        <w:tc>
          <w:tcPr>
            <w:vAlign w:val="center"/>
          </w:tcPr>
          <w:p>
            <w:pPr>
              <w:pStyle w:val="MDPI42tablebody"/>
              <w:jc w:val="center"/>
            </w:pPr>
            <w:r>
              <w:t xml:space="preserve">5.72</w:t>
            </w:r>
          </w:p>
        </w:tc>
        <w:tc>
          <w:tcPr>
            <w:vAlign w:val="center"/>
          </w:tcPr>
          <w:p>
            <w:pPr>
              <w:pStyle w:val="MDPI42tablebody"/>
              <w:jc w:val="center"/>
            </w:pPr>
            <w:r>
              <w:t xml:space="preserve">—</w:t>
            </w:r>
          </w:p>
        </w:tc>
        <w:tc>
          <w:tcPr>
            <w:vAlign w:val="center"/>
          </w:tcPr>
          <w:p>
            <w:pPr>
              <w:pStyle w:val="MDPI42tablebody"/>
              <w:jc w:val="center"/>
            </w:pPr>
            <w:r>
              <w:t xml:space="preserve">—</w:t>
            </w:r>
          </w:p>
        </w:tc>
      </w:tr>
    </w:tbl>
    <w:bookmarkEnd w:id="68"/>
    <w:bookmarkStart w:id="72" w:name="fig:perturb"/>
    <w:p>
      <w:pPr>
        <w:pStyle w:val="MDPI52figure"/>
        <w:jc w:val="center"/>
        <w:keepNext/>
      </w:pPr>
      <w:r>
        <w:drawing>
          <wp:inline>
            <wp:extent cx="5697063" cy="2639394"/>
            <wp:effectExtent b="0" l="0" r="0" t="0"/>
            <wp:docPr descr="" title="" id="70" name="Picture"/>
            <a:graphic>
              <a:graphicData uri="http://schemas.openxmlformats.org/drawingml/2006/picture">
                <pic:pic>
                  <pic:nvPicPr>
                    <pic:cNvPr descr="figures/fig4_sensitivity_perturbation_prices.png" id="71" name="Picture"/>
                    <pic:cNvPicPr>
                      <a:picLocks noChangeArrowheads="1" noChangeAspect="1"/>
                    </pic:cNvPicPr>
                  </pic:nvPicPr>
                  <pic:blipFill>
                    <a:blip r:embed="rId69"/>
                    <a:stretch>
                      <a:fillRect/>
                    </a:stretch>
                  </pic:blipFill>
                  <pic:spPr bwMode="auto">
                    <a:xfrm>
                      <a:off x="0" y="0"/>
                      <a:ext cx="5697063" cy="2639394"/>
                    </a:xfrm>
                    <a:prstGeom prst="rect">
                      <a:avLst/>
                    </a:prstGeom>
                    <a:noFill/>
                    <a:ln w="9525">
                      <a:noFill/>
                      <a:headEnd/>
                      <a:tailEnd/>
                    </a:ln>
                  </pic:spPr>
                </pic:pic>
              </a:graphicData>
            </a:graphic>
          </wp:inline>
        </w:drawing>
      </w:r>
    </w:p>
    <w:p>
      <w:pPr>
        <w:pStyle w:val="MDPI51figurecaption"/>
        <w:keepLines/>
      </w:pPr>
      <w:r>
        <w:rPr>
          <w:b/>
        </w:rPr>
        <w:t xml:space="preserve">Figure 4. </w:t>
      </w:r>
      <w:r>
        <w:t xml:space="preserve">Sensitivity of the seasonal margin. (</w:t>
      </w:r>
      <w:r>
        <w:rPr>
          <w:b/>
          <w:bCs/>
        </w:rPr>
        <w:t xml:space="preserve">a</w:t>
      </w:r>
      <w:r>
        <w:t xml:space="preserve">) Run-level margin under</w:t>
      </w:r>
      <w:r>
        <w:t xml:space="preserve"> </w:t>
      </w:r>
      <w:r>
        <w:t xml:space="preserve">multiplicative perturbation of the identified coefficients, season 2020, 40 runs per</w:t>
      </w:r>
      <w:r>
        <w:t xml:space="preserve"> </w:t>
      </w:r>
      <w:r>
        <w:t xml:space="preserve">level; the heavy tick is the median, the open symbol the mean, and early terminations are</w:t>
      </w:r>
      <w:r>
        <w:t xml:space="preserve"> </w:t>
      </w:r>
      <w:r>
        <w:t xml:space="preserve">counted per level. The mean falls by</w:t>
      </w:r>
      <w:r>
        <w:t xml:space="preserve"> </w:t>
      </w:r>
      <m:oMath>
        <m:r>
          <m:t>12.2</m:t>
        </m:r>
      </m:oMath>
      <w:r>
        <w:t xml:space="preserve"> EUR m</w:t>
      </w:r>
      <m:oMath>
        <m:sSup>
          <m:e>
            <m:r>
              <m:t>​</m:t>
            </m:r>
          </m:e>
          <m:sup>
            <m:r>
              <m:rPr>
                <m:sty m:val="p"/>
              </m:rPr>
              <m:t>−</m:t>
            </m:r>
            <m:r>
              <m:t>2</m:t>
            </m:r>
          </m:sup>
        </m:sSup>
      </m:oMath>
      <w:r>
        <w:t xml:space="preserve"> </w:t>
      </w:r>
      <w:r>
        <w:t xml:space="preserve">across the grid while the median</w:t>
      </w:r>
      <w:r>
        <w:t xml:space="preserve"> </w:t>
      </w:r>
      <w:r>
        <w:t xml:space="preserve">falls by</w:t>
      </w:r>
      <w:r>
        <w:t xml:space="preserve"> </w:t>
      </w:r>
      <m:oMath>
        <m:r>
          <m:t>5.7</m:t>
        </m:r>
      </m:oMath>
      <w:r>
        <w:t xml:space="preserve">: the degradation is a growing minority of catastrophic runs rather than a</w:t>
      </w:r>
      <w:r>
        <w:t xml:space="preserve"> </w:t>
      </w:r>
      <w:r>
        <w:t xml:space="preserve">uniform decline.</w:t>
      </w:r>
      <w:r>
        <w:t xml:space="preserve"> </w:t>
      </w:r>
      <w:r>
        <w:rPr>
          <w:b/>
          <w:bCs/>
        </w:rPr>
        <w:t xml:space="preserve">This panel is a default-objective result</w:t>
      </w:r>
      <w:r>
        <w:t xml:space="preserve"> </w:t>
      </w:r>
      <w:r>
        <w:t xml:space="preserve">— the supporting</w:t>
      </w:r>
      <w:r>
        <w:t xml:space="preserve"> </w:t>
      </w:r>
      <w:r>
        <w:t xml:space="preserve">harness hard-codes the original stage cost, so the directory name</w:t>
      </w:r>
      <w:r>
        <w:t xml:space="preserve"> </w:t>
      </w:r>
      <w:r>
        <w:rPr>
          <w:rStyle w:val="VerbatimChar"/>
        </w:rPr>
        <w:t xml:space="preserve">priced_design/</w:t>
      </w:r>
      <w:r>
        <w:t xml:space="preserve"> </w:t>
      </w:r>
      <w:r>
        <w:t xml:space="preserve">is a misnomer. (</w:t>
      </w:r>
      <w:r>
        <w:rPr>
          <w:b/>
          <w:bCs/>
        </w:rPr>
        <w:t xml:space="preserve">b</w:t>
      </w:r>
      <w:r>
        <w:t xml:space="preserve">) Margin over a nine-cell grid of fruit</w:t>
      </w:r>
      <w:r>
        <w:t xml:space="preserve"> </w:t>
      </w:r>
      <w:r>
        <w:t xml:space="preserve">price</w:t>
      </w:r>
      <w:r>
        <w:t xml:space="preserve"> </w:t>
      </w:r>
      <m:oMath>
        <m:r>
          <m:rPr>
            <m:sty m:val="p"/>
          </m:rPr>
          <m:t>×</m:t>
        </m:r>
      </m:oMath>
      <w:r>
        <w:t xml:space="preserve"> </w:t>
      </w:r>
      <w:r>
        <w:t xml:space="preserve">energy scale. The grid</w:t>
      </w:r>
      <w:r>
        <w:t xml:space="preserve"> </w:t>
      </w:r>
      <w:r>
        <w:rPr>
          <w:i/>
          <w:iCs/>
        </w:rPr>
        <w:t xml:space="preserve">re-scores</w:t>
      </w:r>
      <w:r>
        <w:t xml:space="preserve"> </w:t>
      </w:r>
      <w:r>
        <w:t xml:space="preserve">fixed trajectories rather than</w:t>
      </w:r>
      <w:r>
        <w:t xml:space="preserve"> </w:t>
      </w:r>
      <w:r>
        <w:t xml:space="preserve">re-optimising them, and covers only the ten canonical-wave controllers:</w:t>
      </w:r>
      <w:r>
        <w:t xml:space="preserve"> </w:t>
      </w:r>
      <w:r>
        <w:rPr>
          <w:b/>
          <w:bCs/>
        </w:rPr>
        <w:t xml:space="preserve">neither</w:t>
      </w:r>
      <w:r>
        <w:rPr>
          <w:b/>
          <w:bCs/>
        </w:rPr>
        <w:t xml:space="preserve"> </w:t>
      </w:r>
      <w:r>
        <w:rPr>
          <w:b/>
          <w:bCs/>
        </w:rPr>
        <w:t xml:space="preserve">raw-library controller appears in it</w:t>
      </w:r>
      <w:r>
        <w:t xml:space="preserve">, so it does not test the ranking reported here.</w:t>
      </w:r>
      <w:r>
        <w:t xml:space="preserve"> </w:t>
      </w:r>
      <w:r>
        <w:t xml:space="preserve">Data:</w:t>
      </w:r>
      <w:r>
        <w:t xml:space="preserve"> </w:t>
      </w:r>
      <w:r>
        <w:rPr>
          <w:rStyle w:val="VerbatimChar"/>
        </w:rPr>
        <w:t xml:space="preserve">regen/results/priced_design/</w:t>
      </w:r>
      <w:r>
        <w:t xml:space="preserve"> </w:t>
      </w:r>
      <w:r>
        <w:t xml:space="preserve">(</w:t>
      </w:r>
      <w:r>
        <w:rPr>
          <w:b/>
          <w:bCs/>
        </w:rPr>
        <w:t xml:space="preserve">a</w:t>
      </w:r>
      <w:r>
        <w:t xml:space="preserve">) and</w:t>
      </w:r>
      <w:r>
        <w:t xml:space="preserve"> </w:t>
      </w:r>
      <w:r>
        <w:rPr>
          <w:rStyle w:val="VerbatimChar"/>
        </w:rPr>
        <w:t xml:space="preserve">regen/results/final/main.csv</w:t>
      </w:r>
      <w:r>
        <w:t xml:space="preserve"> </w:t>
      </w:r>
      <w:r>
        <w:t xml:space="preserve">(</w:t>
      </w:r>
      <w:r>
        <w:rPr>
          <w:b/>
          <w:bCs/>
        </w:rPr>
        <w:t xml:space="preserve">b</w:t>
      </w:r>
      <w:r>
        <w:t xml:space="preserve">).</w:t>
      </w:r>
    </w:p>
    <w:bookmarkEnd w:id="72"/>
    <w:bookmarkEnd w:id="73"/>
    <w:bookmarkEnd w:id="74"/>
    <w:bookmarkStart w:id="87" w:name="sec:discussion"/>
    <w:p>
      <w:pPr>
        <w:pStyle w:val="MDPI21heading1"/>
        <w:keepNext/>
      </w:pPr>
      <w:r>
        <w:t xml:space="preserve">4. </w:t>
      </w:r>
      <w:r>
        <w:t xml:space="preserve">Discussion</w:t>
      </w:r>
    </w:p>
    <w:bookmarkStart w:id="75" w:name="sec:disc-mechanism"/>
    <w:p>
      <w:pPr>
        <w:pStyle w:val="MDPI22heading2"/>
        <w:keepNext/>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w:t>
      </w:r>
      <w:r>
        <w:t xml:space="preserve"> </w:t>
      </w:r>
      <w:r>
        <w:rPr>
          <w:i/>
          <w:iCs/>
        </w:rPr>
        <w:t xml:space="preserve">best</w:t>
      </w:r>
      <w:r>
        <w:t xml:space="preserve"> </w:t>
      </w:r>
      <w:r>
        <w:t xml:space="preserve">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That much is a statement about open-loop prediction, and it holds. An earlier</w:t>
      </w:r>
      <w:r>
        <w:t xml:space="preserve"> </w:t>
      </w:r>
      <w:r>
        <w:t xml:space="preserve">version of this argument continued the chain into the closed loop: collinearity</w:t>
      </w:r>
      <w:r>
        <w:t xml:space="preserve"> </w:t>
      </w:r>
      <w:r>
        <w:t xml:space="preserve">leaves the least-squares solution weakly determined along the ill-conditioned</w:t>
      </w:r>
      <w:r>
        <w:t xml:space="preserve"> </w:t>
      </w:r>
      <w:r>
        <w:t xml:space="preserve">directions, coefficients become unstable across identification replicates, a fixed</w:t>
      </w:r>
      <w:r>
        <w:t xml:space="preserve"> </w:t>
      </w:r>
      <w:r>
        <w:t xml:space="preserve">sparsity threshold arbitrates inconsistently between near-equivalent</w:t>
      </w:r>
      <w:r>
        <w:t xml:space="preserve"> </w:t>
      </w:r>
      <w:r>
        <w:t xml:space="preserve">representations, and the resulting rollout error compounds into economic loss.</w:t>
      </w:r>
      <w:r>
        <w:t xml:space="preserve"> </w:t>
      </w:r>
      <w:r>
        <w:rPr>
          <w:i/>
          <w:iCs/>
        </w:rPr>
        <w:t xml:space="preserve">The second half of that chain does not survive measurement.</w:t>
      </w:r>
      <w:r>
        <w:t xml:space="preserve"> </w:t>
      </w:r>
      <w:r>
        <w:t xml:space="preserve">When the</w:t>
      </w:r>
      <w:r>
        <w:t xml:space="preserve"> </w:t>
      </w:r>
      <w:r>
        <w:t xml:space="preserve">extreme point of the conditioning series was finally carried into closed</w:t>
      </w:r>
      <w:r>
        <w:t xml:space="preserve"> </w:t>
      </w:r>
      <w:r>
        <w:t xml:space="preserve">loop—ensemble optimiser, 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and</w:t>
      </w:r>
      <w:r>
        <w:t xml:space="preserve"> </w:t>
      </w:r>
      <w:r>
        <w:t xml:space="preserve">closed-loop economics not at all. The agreement observed while only two libraries</w:t>
      </w:r>
      <w:r>
        <w:t xml:space="preserve"> </w:t>
      </w:r>
      <w:r>
        <w:t xml:space="preserve">had closed-loop controllers was a two-point coincidence, and the third point</w:t>
      </w:r>
      <w:r>
        <w:t xml:space="preserve"> </w:t>
      </w:r>
      <w:r>
        <w:t xml:space="preserve">destroys it.</w:t>
      </w:r>
    </w:p>
    <w:p>
      <w:pPr>
        <w:pStyle w:val="MDPI31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MDPI31text"/>
      </w:pPr>
      <w:r>
        <w:t xml:space="preserve">The controlled evidence for that reading is the single-coefficient ablation, which</w:t>
      </w:r>
      <w:r>
        <w:t xml:space="preserve"> </w:t>
      </w:r>
      <w:r>
        <w:t xml:space="preserve">this result promotes from a supporting measurement to the central one: survival</w:t>
      </w:r>
      <w:r>
        <w:t xml:space="preserve"> </w:t>
      </w:r>
      <w:r>
        <w:t xml:space="preserve">explains the closed-loop outcome and</w:t>
      </w:r>
      <w:r>
        <w:t xml:space="preserve"> </w:t>
      </w:r>
      <m:oMath>
        <m:r>
          <m:t>κ</m:t>
        </m:r>
      </m:oMath>
      <w:r>
        <w:t xml:space="preserve"> </w:t>
      </w:r>
      <w:r>
        <w:t xml:space="preserve">does not. Reinstating the deleted</w:t>
      </w:r>
      <w:r>
        <w:t xml:space="preserve"> </w:t>
      </w:r>
      <w:r>
        <w:t xml:space="preserve">coefficient in the frozen recipe is the only randomised manipulation in the</w:t>
      </w:r>
      <w:r>
        <w:t xml:space="preserve"> </w:t>
      </w:r>
      <w:r>
        <w:t xml:space="preserve">mechanism block—library,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w:t>
      </w:r>
      <w:r>
        <w:t xml:space="preserve"> </w:t>
      </w:r>
      <w:r>
        <w:t xml:space="preserve">the median is the honest summary; the</w:t>
      </w:r>
      <w:r>
        <w:t xml:space="preserve"> </w:t>
      </w:r>
      <m:oMath>
        <m:r>
          <m:rPr>
            <m:sty m:val="p"/>
          </m:rPr>
          <m:t>+</m:t>
        </m:r>
        <m:r>
          <m:t>3.05</m:t>
        </m:r>
      </m:oMath>
      <w:r>
        <w:t xml:space="preserve"> </w:t>
      </w:r>
      <w:r>
        <w:t xml:space="preserve">median obtained under the defective</w:t>
      </w:r>
      <w:r>
        <w:t xml:space="preserve"> </w:t>
      </w:r>
      <w:r>
        <w:t xml:space="preserve">objective is superseded and must not be quoted as the size of this effect.</w:t>
      </w:r>
    </w:p>
    <w:p>
      <w:pPr>
        <w:pStyle w:val="MDPI31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rPr>
          <w:i/>
          <w:iCs/>
        </w:rPr>
        <w:t xml:space="preserve">without</w:t>
      </w:r>
      <w:r>
        <w:t xml:space="preserve"> </w:t>
      </w:r>
      <w:r>
        <w:t xml:space="preserve">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rPr>
          <w:i/>
          <w:iCs/>
        </w:rPr>
        <w:t xml:space="preserve">with</w:t>
      </w:r>
      <w:r>
        <w:t xml:space="preserve"> </w:t>
      </w:r>
      <w:r>
        <w:t xml:space="preserve">it (</w:t>
      </w:r>
      <m:oMath>
        <m:r>
          <m:rPr>
            <m:sty m:val="p"/>
          </m:rPr>
          <m:t>+</m:t>
        </m:r>
        <m:r>
          <m:t>2.36</m:t>
        </m:r>
      </m:oMath>
      <w:r>
        <w:t xml:space="preserve">).</w:t>
      </w:r>
      <w:r>
        <w:t xml:space="preserve"> </w:t>
      </w:r>
      <w:r>
        <w:t xml:space="preserve">That split is observational—survival is a property of each fit, not a randomised</w:t>
      </w:r>
      <w:r>
        <w:t xml:space="preserve"> </w:t>
      </w:r>
      <w:r>
        <w:t xml:space="preserve">factor, and it is confounded with recipe—so the conservative reading is that</w:t>
      </w:r>
      <w:r>
        <w:t xml:space="preserve"> </w:t>
      </w:r>
      <w:r>
        <w:t xml:space="preserve">survival marks which fits collapse rather than measuring the whole library effect.</w:t>
      </w:r>
    </w:p>
    <w:p>
      <w:pPr>
        <w:pStyle w:val="MDPI31text"/>
      </w:pPr>
      <w:r>
        <w:t xml:space="preserve">Why the middle library should be worse than</w:t>
      </w:r>
      <w:r>
        <w:t xml:space="preserve"> </w:t>
      </w:r>
      <w:r>
        <w:rPr>
          <w:i/>
          <w:iCs/>
        </w:rPr>
        <w:t xml:space="preserve">both</w:t>
      </w:r>
      <w:r>
        <w:t xml:space="preserve"> </w:t>
      </w:r>
      <w:r>
        <w:t xml:space="preserve">of its neighbours had one</w:t>
      </w:r>
      <w:r>
        <w:t xml:space="preserve"> </w:t>
      </w:r>
      <w:r>
        <w:t xml:space="preserve">candidate explanation, and the experiment that decides it has now been run. The</w:t>
      </w:r>
      <w:r>
        <w:t xml:space="preserve"> </w:t>
      </w:r>
      <w:r>
        <w:t xml:space="preserve">explanation was that the library without cross terms carries enough collinearity for</w:t>
      </w:r>
      <w:r>
        <w:t xml:space="preserve"> </w:t>
      </w:r>
      <w:r>
        <w:t xml:space="preserve">the threshold to destabilise the direct boiler term, but—unlike the full</w:t>
      </w:r>
      <w:r>
        <w:t xml:space="preserve"> </w:t>
      </w:r>
      <w:r>
        <w:t xml:space="preserve">library—holds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3.10</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rPr>
          <w:b/>
          <w:bCs/>
        </w:rPr>
        <w:t xml:space="preserve">The term-deletion test rejects the detour.</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feature—the only one of the four cross terms that</w:t>
      </w:r>
      <w:r>
        <w:t xml:space="preserve"> </w:t>
      </w:r>
      <w:r>
        <w:t xml:space="preserve">touches the boiler—from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what the mechanism claims is untouched, and is in fact</w:t>
      </w:r>
      <w:r>
        <w:t xml:space="preserve"> </w:t>
      </w:r>
      <w:r>
        <w:t xml:space="preserve">sharpened by the fourth point: across four libraries the margin continues to track</w:t>
      </w:r>
      <w:r>
        <w:t xml:space="preserve"> </w:t>
      </w:r>
      <w:r>
        <w:t xml:space="preserve">survival—</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5"/>
    <w:bookmarkStart w:id="76" w:name="sec:disc-rule"/>
    <w:p>
      <w:pPr>
        <w:pStyle w:val="MDPI22heading2"/>
        <w:keepNext/>
      </w:pPr>
      <w:r>
        <w:t xml:space="preserve">4.2. </w:t>
      </w:r>
      <w:r>
        <w:t xml:space="preserve">A cheap open-loop rule for selecting a control-oriented surrogate</w:t>
      </w:r>
    </w:p>
    <w:p>
      <w:pPr>
        <w:pStyle w:val="MDPI31text"/>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diverge—both computed on the identification data in</w:t>
      </w:r>
      <w:r>
        <w:t xml:space="preserve"> </w:t>
      </w:r>
      <w:r>
        <w:t xml:space="preserve">seconds, before any closed-loop season is simulated—and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pre-registered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The strength of that claim must be stated at the resolution the three libraries</w:t>
      </w:r>
      <w:r>
        <w:t xml:space="preserve"> </w:t>
      </w:r>
      <w:r>
        <w:t xml:space="preserve">allow. Over the series, the screen</w:t>
      </w:r>
      <w:r>
        <w:t xml:space="preserve"> </w:t>
      </w:r>
      <w:r>
        <w:rPr>
          <w:i/>
          <w:iCs/>
        </w:rPr>
        <w:t xml:space="preserve">identifies the closed-loop winner</w:t>
      </w:r>
      <w:r>
        <w:t xml:space="preserve"> </w:t>
      </w:r>
      <w:r>
        <w:t xml:space="preserve">and</w:t>
      </w:r>
      <w:r>
        <w:t xml:space="preserve"> </w:t>
      </w:r>
      <w:r>
        <w:t xml:space="preserve">one-step accuracy ranks that same winner</w:t>
      </w:r>
      <w:r>
        <w:t xml:space="preserve"> </w:t>
      </w:r>
      <w:r>
        <w:rPr>
          <w:i/>
          <w:iCs/>
        </w:rPr>
        <w:t xml:space="preserve">last</w:t>
      </w:r>
      <w:r>
        <w:t xml:space="preserve">;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criterion—not a rank correlation across the series.</w:t>
      </w:r>
    </w:p>
    <w:p>
      <w:pPr>
        <w:pStyle w:val="MDPI31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nothing—it</w:t>
      </w:r>
      <w:r>
        <w:t xml:space="preserve"> </w:t>
      </w:r>
      <w:r>
        <w:t xml:space="preserve">inspects numbers already computed—and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The ladder’s rollout value is a</w:t>
      </w:r>
      <w:r>
        <w:t xml:space="preserve"> </w:t>
      </w:r>
      <w:r>
        <w:rPr>
          <w:i/>
          <w:iCs/>
        </w:rPr>
        <w:t xml:space="preserve">comparator</w:t>
      </w:r>
      <w:r>
        <w:t xml:space="preserve">,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rPr>
          <w:i/>
          <w:iCs/>
        </w:rPr>
        <w:t xml:space="preserve">evaluation</w:t>
      </w:r>
      <w:r>
        <w:t xml:space="preserve"> </w:t>
      </w:r>
      <w:r>
        <w:t xml:space="preserve">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MDPI31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—while neither group buys back a closed-loop margin above the raw</w:t>
      </w:r>
      <w:r>
        <w:t xml:space="preserve"> </w:t>
      </w:r>
      <w:r>
        <w:t xml:space="preserve">library’s. Nor does the</w:t>
      </w:r>
      <w:r>
        <w:t xml:space="preserve"> </w:t>
      </w:r>
      <w:r>
        <w:rPr>
          <w:i/>
          <w:iCs/>
        </w:rPr>
        <w:t xml:space="preserve">count</w:t>
      </w:r>
      <w:r>
        <w:t xml:space="preserve"> </w:t>
      </w:r>
      <w:r>
        <w:t xml:space="preserve">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6"/>
    <w:bookmarkStart w:id="77" w:name="sec:disc-sparsity"/>
    <w:p>
      <w:pPr>
        <w:pStyle w:val="MDPI22heading2"/>
        <w:keepNext/>
      </w:pPr>
      <w:r>
        <w:t xml:space="preserve">4.3. </w:t>
      </w:r>
      <w:r>
        <w:t xml:space="preserve">Sparsity is exonerated</w:t>
      </w:r>
    </w:p>
    <w:p>
      <w:pPr>
        <w:pStyle w:val="MDPI31text"/>
      </w:pPr>
      <w:r>
        <w:t xml:space="preserve">The winner is the sparser model on both counts—11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variants—bagged ensemble and plain sequential thresholded least</w:t>
      </w:r>
      <w:r>
        <w:t xml:space="preserve"> </w:t>
      </w:r>
      <w:r>
        <w:t xml:space="preserve">squares—cannot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7"/>
    <w:bookmarkStart w:id="78" w:name="sec:disc-defects"/>
    <w:p>
      <w:pPr>
        <w:pStyle w:val="MDPI22heading2"/>
        <w:keepNext/>
      </w:pPr>
      <w:r>
        <w:t xml:space="preserve">4.4. </w:t>
      </w:r>
      <w:r>
        <w:t xml:space="preserve">What the two comparison defects imply for the field</w:t>
      </w:r>
    </w:p>
    <w:p>
      <w:pPr>
        <w:pStyle w:val="MDPI31text"/>
      </w:pPr>
      <w:r>
        <w:t xml:space="preserve">Both defects (Table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w:t>
      </w:r>
      <w:r>
        <w:t xml:space="preserve"> </w:t>
      </w:r>
      <w:r>
        <w:t xml:space="preserve">were on our side of the comparison and both inflated the result.</w:t>
      </w:r>
    </w:p>
    <w:p>
      <w:pPr>
        <w:pStyle w:val="MDPI31text"/>
      </w:pPr>
      <w:r>
        <w:t xml:space="preserve">The reference heuristic was described as tuned and was not. Searching its four</w:t>
      </w:r>
      <w:r>
        <w:t xml:space="preserve"> </w:t>
      </w:r>
      <w:r>
        <w:t xml:space="preserve">economically relevant setpoints under exactly the budget the reinforcement-learning</w:t>
      </w:r>
      <w:r>
        <w:t xml:space="preserve"> </w:t>
      </w:r>
      <w:r>
        <w:t xml:space="preserve">agents received—16 random trials, selection on the training years only—is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an untuned baseline had inflated the</w:t>
      </w:r>
      <w:r>
        <w:t xml:space="preserve"> </w:t>
      </w:r>
      <w:r>
        <w:t xml:space="preserve">result</w:t>
      </w:r>
      <w:r>
        <w:t xml:space="preserve"> </w:t>
      </w:r>
      <m:oMath>
        <m:r>
          <m:t>2.7</m:t>
        </m:r>
      </m:oMath>
      <w:r>
        <w:t xml:space="preserve">-fold.</w:t>
      </w:r>
      <w:r>
        <w:t xml:space="preserve"> </w:t>
      </w:r>
      <w:r>
        <w:t xml:space="preserve">Only 2 of the 16 random draws beat the stock setpoints: the</w:t>
      </w:r>
      <w:r>
        <w:t xml:space="preserve"> </w:t>
      </w:r>
      <w:r>
        <w:t xml:space="preserve">stock configuration sat at the 88th percentile of its own search space—not a</w:t>
      </w:r>
      <w:r>
        <w:t xml:space="preserve"> </w:t>
      </w:r>
      <w:r>
        <w:t xml:space="preserve">straw man, merely un-searched. Tuning also moved the heuristic</w:t>
      </w:r>
      <w:r>
        <w:t xml:space="preserve"> </w:t>
      </w:r>
      <w:r>
        <w:rPr>
          <w:i/>
          <w:iCs/>
        </w:rPr>
        <w:t xml:space="preserve">onto</w:t>
      </w:r>
      <w:r>
        <w:t xml:space="preserve"> </w:t>
      </w:r>
      <w:r>
        <w:t xml:space="preserve">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[42].</w:t>
      </w:r>
    </w:p>
    <w:p>
      <w:pPr>
        <w:pStyle w:val="MDPI31text"/>
      </w:pPr>
      <w:r>
        <w:t xml:space="preserve">The second defect was internal to the controller. The MPC stage cost weighted</w:t>
      </w:r>
      <w:r>
        <w:t xml:space="preserve"> </w:t>
      </w:r>
      <w:r>
        <w:t xml:space="preserve">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the</w:t>
      </w:r>
      <w:r>
        <w:t xml:space="preserve"> </w:t>
      </w:r>
      <w:r>
        <w:t xml:space="preserve">economic criterion actually charges are</w:t>
      </w:r>
      <w:r>
        <w:t xml:space="preserve"> </w:t>
      </w:r>
      <m:oMath>
        <m:r>
          <m:t>1</m:t>
        </m:r>
        <m:r>
          <m:rPr>
            <m:sty m:val="p"/>
          </m:rPr>
          <m:t>:</m:t>
        </m:r>
        <m:r>
          <m:t>2.97</m:t>
        </m:r>
        <m:r>
          <m:rPr>
            <m:sty m:val="p"/>
          </m:rPr>
          <m:t>:</m:t>
        </m:r>
        <m:r>
          <m:t>0.46</m:t>
        </m:r>
      </m:oMath>
      <w:r>
        <w:t xml:space="preserve">: the boiler was penalised</w:t>
      </w:r>
      <w:r>
        <w:t xml:space="preserve"> </w:t>
      </w:r>
      <w:r>
        <w:t xml:space="preserve">twice as hard as the lamp although the lamp costs three times more. Re-weighting</w:t>
      </w:r>
      <w:r>
        <w:t xml:space="preserve"> </w:t>
      </w:r>
      <w:r>
        <w:t xml:space="preserve">the energy term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w:t>
      </w:r>
      <w:r>
        <w:t xml:space="preserve"> </w:t>
      </w:r>
      <w:r>
        <w:rPr>
          <w:i/>
          <w:iCs/>
        </w:rPr>
        <w:t xml:space="preserve">both</w:t>
      </w:r>
      <w:r>
        <w:t xml:space="preserve"> </w:t>
      </w:r>
      <w:r>
        <w:t xml:space="preserve">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roughly two-thirds of what had looked like a</w:t>
      </w:r>
      <w:r>
        <w:t xml:space="preserve"> </w:t>
      </w:r>
      <w:r>
        <w:t xml:space="preserve">library effect was a defect of the objective. The repair also cost the tuned</w:t>
      </w:r>
      <w:r>
        <w:t xml:space="preserve"> </w:t>
      </w:r>
      <w:r>
        <w:t xml:space="preserve">heuristic its place on the two-axis front, yielded to a physics-informed variant</w:t>
      </w:r>
      <w:r>
        <w:t xml:space="preserve"> </w:t>
      </w:r>
      <w:r>
        <w:t xml:space="preserve">it had beaten under the defective objective—a baseline’s standing in a</w:t>
      </w:r>
      <w:r>
        <w:t xml:space="preserve"> </w:t>
      </w:r>
      <w:r>
        <w:t xml:space="preserve">two-axis comparison is no more stable than the stage cost the controllers were</w:t>
      </w:r>
      <w:r>
        <w:t xml:space="preserve"> </w:t>
      </w:r>
      <w:r>
        <w:t xml:space="preserve">given. Why the correction is worth an order of magnitude more to one library</w:t>
      </w:r>
      <w:r>
        <w:t xml:space="preserve"> </w:t>
      </w:r>
      <w:r>
        <w:t xml:space="preserve">than to the other we did not measure; what follows practically is that a</w:t>
      </w:r>
      <w:r>
        <w:t xml:space="preserve"> </w:t>
      </w:r>
      <w:r>
        <w:t xml:space="preserve">controller defect can masquerade as a property of the model class, and that the</w:t>
      </w:r>
      <w:r>
        <w:t xml:space="preserve"> </w:t>
      </w:r>
      <w:r>
        <w:t xml:space="preserve">stage cost should be checked against the prices in the evaluation criterion</w:t>
      </w:r>
      <w:r>
        <w:t xml:space="preserve"> </w:t>
      </w:r>
      <w:r>
        <w:t xml:space="preserve">before any difference is attributed to a model.</w:t>
      </w:r>
    </w:p>
    <w:bookmarkEnd w:id="78"/>
    <w:bookmarkStart w:id="79" w:name="sec:disc-related"/>
    <w:p>
      <w:pPr>
        <w:pStyle w:val="MDPI22heading2"/>
        <w:keepNext/>
      </w:pPr>
      <w:r>
        <w:t xml:space="preserve">4.5. </w:t>
      </w:r>
      <w:r>
        <w:t xml:space="preserve">Relation to prior work</w:t>
      </w:r>
    </w:p>
    <w:p>
      <w:pPr>
        <w:pStyle w:val="MDPI31text"/>
      </w:pPr>
      <w:r>
        <w:t xml:space="preserve">The finding instantiates the identification-for-control programme—model</w:t>
      </w:r>
      <w:r>
        <w:t xml:space="preserve"> </w:t>
      </w:r>
      <w:r>
        <w:t xml:space="preserve">quality cannot be judged independently of the control task the model</w:t>
      </w:r>
      <w:r>
        <w:t xml:space="preserve"> </w:t>
      </w:r>
      <w:r>
        <w:t xml:space="preserve">serves  [15–17,22,43]—and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[18–21].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w:t>
      </w:r>
      <w:r>
        <w:t xml:space="preserve"> </w:t>
      </w:r>
      <w:r>
        <w:rPr>
          <w:i/>
          <w:iCs/>
        </w:rPr>
        <w:t xml:space="preserve">last</w:t>
      </w:r>
      <w:r>
        <w:t xml:space="preserve">.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[25–26,44],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w:t>
      </w:r>
      <w:r>
        <w:t xml:space="preserve"> </w:t>
      </w:r>
      <w:r>
        <w:rPr>
          <w:i/>
          <w:iCs/>
        </w:rPr>
        <w:t xml:space="preserve">not</w:t>
      </w:r>
      <w:r>
        <w:t xml:space="preserve"> </w:t>
      </w:r>
      <w:r>
        <w:t xml:space="preserve">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uses—a</w:t>
      </w:r>
      <w:r>
        <w:t xml:space="preserve"> </w:t>
      </w:r>
      <w:r>
        <w:t xml:space="preserve">point on which library optimisation scored by recursive long-term</w:t>
      </w:r>
      <w:r>
        <w:t xml:space="preserve"> </w:t>
      </w:r>
      <w:r>
        <w:t xml:space="preserve">prediction  [14] converges from the opposite direction. Bagged</w:t>
      </w:r>
      <w:r>
        <w:t xml:space="preserve"> </w:t>
      </w:r>
      <w:r>
        <w:t xml:space="preserve">ensembling  [10]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w:t>
      </w:r>
      <w:r>
        <w:t xml:space="preserve"> </w:t>
      </w:r>
      <w:r>
        <w:t xml:space="preserve">the model and varied the</w:t>
      </w:r>
      <w:r>
        <w:t xml:space="preserve"> </w:t>
      </w:r>
      <w:r>
        <w:t xml:space="preserve">controller  [6,11–13]; the library</w:t>
      </w:r>
      <w:r>
        <w:t xml:space="preserve"> </w:t>
      </w:r>
      <w:r>
        <w:t xml:space="preserve">appears at least as consequential.</w:t>
      </w:r>
    </w:p>
    <w:bookmarkEnd w:id="79"/>
    <w:bookmarkStart w:id="86" w:name="sec:disc-limitations"/>
    <w:p>
      <w:pPr>
        <w:pStyle w:val="MDPI22heading2"/>
        <w:keepNext/>
      </w:pPr>
      <w:r>
        <w:t xml:space="preserve">4.6. </w:t>
      </w:r>
      <w:r>
        <w:t xml:space="preserve">Limitations</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in the main comparison, the raw-versus-physics contrast from</w:t>
      </w:r>
      <w:r>
        <w:t xml:space="preserve"> </w:t>
      </w:r>
      <m:oMath>
        <m:r>
          <m:t>7.7</m:t>
        </m:r>
        <m:r>
          <m:rPr>
            <m:sty m:val="p"/>
          </m:rPr>
          <m:t>×</m:t>
        </m:r>
        <m:sSup>
          <m:e>
            <m:r>
              <m:t>10</m:t>
            </m:r>
          </m:e>
          <m:sup>
            <m:r>
              <m:rPr>
                <m:sty m:val="p"/>
              </m:rPr>
              <m:t>−</m:t>
            </m:r>
            <m:r>
              <m:t>4</m:t>
            </m:r>
          </m:sup>
        </m:sSup>
      </m:oMath>
      <w:r>
        <w:t xml:space="preserve"> </w:t>
      </w:r>
      <w:r>
        <w:t xml:space="preserve">to</w:t>
      </w:r>
      <w:r>
        <w:t xml:space="preserve"> </w:t>
      </w:r>
      <m:oMath>
        <m:r>
          <m:t>4.6</m:t>
        </m:r>
        <m:r>
          <m:rPr>
            <m:sty m:val="p"/>
          </m:rPr>
          <m:t>×</m:t>
        </m:r>
        <m:sSup>
          <m:e>
            <m:r>
              <m:t>10</m:t>
            </m:r>
          </m:e>
          <m:sup>
            <m:r>
              <m:rPr>
                <m:sty m:val="p"/>
              </m:rPr>
              <m:t>−</m:t>
            </m:r>
            <m:r>
              <m:t>4</m:t>
            </m:r>
          </m:sup>
        </m:sSup>
      </m:oMath>
      <w:r>
        <w:t xml:space="preserve"> </w:t>
      </w:r>
      <w:r>
        <w:t xml:space="preserve">among them, without any controller</w:t>
      </w:r>
      <w:r>
        <w:t xml:space="preserve"> </w:t>
      </w:r>
      <w:r>
        <w:t xml:space="preserve">crossing</w:t>
      </w:r>
      <w:r>
        <w:t xml:space="preserve"> </w:t>
      </w:r>
      <m:oMath>
        <m:r>
          <m:t>0.05</m:t>
        </m:r>
      </m:oMath>
      <w:r>
        <w:t xml:space="preserve">.</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season—all 20 runs exhausted the solver-failure budget—but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w:t>
      </w:r>
      <w:r>
        <w:t xml:space="preserve"> </w:t>
      </w:r>
      <w:r>
        <w:rPr>
          <w:i/>
          <w:iCs/>
        </w:rPr>
        <w:t xml:space="preserve">measured, not manipulated</w:t>
      </w:r>
      <w:r>
        <w:t xml:space="preserve">,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added—the term-deletion probe below—and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were never run under the priced</w:t>
      </w:r>
      <w:r>
        <w:rPr>
          <w:b/>
          <w:bCs/>
        </w:rPr>
        <w:t xml:space="preserve"> </w:t>
      </w:r>
      <w:r>
        <w:rPr>
          <w:b/>
          <w:bCs/>
        </w:rPr>
        <w:t xml:space="preserve">objective.</w:t>
      </w:r>
      <w:r>
        <w:t xml:space="preserve"> </w:t>
      </w:r>
      <w:r>
        <w:t xml:space="preserve">The support harness hard-codes the default stage cost, so those</w:t>
      </w:r>
      <w:r>
        <w:t xml:space="preserve"> </w:t>
      </w:r>
      <w:r>
        <w:t xml:space="preserve">sensitivities are default-objective results, mislabelled as priced in the run</w:t>
      </w:r>
      <w:r>
        <w:t xml:space="preserve"> </w:t>
      </w:r>
      <w:r>
        <w:t xml:space="preserve">log. Under it, perturbing 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w:t>
      </w:r>
      <w:r>
        <w:t xml:space="preserve"> </w:t>
      </w:r>
      <w:r>
        <w:rPr>
          <w:i/>
          <w:iCs/>
        </w:rPr>
        <w:t xml:space="preserve">unknown</w:t>
      </w:r>
      <w:r>
        <w:t xml:space="preserve">: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platform—the two harnesses score the</w:t>
      </w:r>
      <w:r>
        <w:t xml:space="preserve"> </w:t>
      </w:r>
      <w:r>
        <w:rPr>
          <w:i/>
          <w:iCs/>
        </w:rPr>
        <w:t xml:space="preserve">deterministic</w:t>
      </w:r>
      <w:r>
        <w:t xml:space="preserve"> </w:t>
      </w:r>
      <w:r>
        <w:t xml:space="preserve">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Scope.</w:t>
      </w:r>
      <w:r>
        <w:t xml:space="preserve"> </w:t>
      </w:r>
      <w:r>
        <w:t xml:space="preserve">Simulation only, one location, one planting date, one crop</w:t>
      </w:r>
      <w:r>
        <w:t xml:space="preserve"> </w:t>
      </w:r>
      <w:r>
        <w:t xml:space="preserve">model, one weather source. The ranking is not price-invariant: two different</w:t>
      </w:r>
      <w:r>
        <w:t xml:space="preserve"> </w:t>
      </w:r>
      <w:r>
        <w:t xml:space="preserve">controllers win across a nine-point grid of fruit and energy prices—though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80" w:name="tab:disc-libraries"/>
    <w:p>
      <w:pPr>
        <w:pStyle w:val="MDPI41tablecaption"/>
        <w:keepNext/>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w:t>
      </w:r>
      <w:r>
        <w:t xml:space="preserve"> </w:t>
      </w:r>
      <w:r>
        <w:rPr>
          <w:i/>
          <w:iCs/>
        </w:rPr>
        <w:t xml:space="preserve">open-loop</w:t>
      </w:r>
      <w:r>
        <w:t xml:space="preserve"> </w:t>
      </w:r>
      <w:r>
        <w:t xml:space="preserve">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MDPI41threelinetable"/>
        <w:tblW w:type="dxa" w:w="792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1131"/>
        <w:gridCol w:w="1131"/>
        <w:gridCol w:w="1131"/>
        <w:gridCol w:w="1131"/>
        <w:gridCol w:w="1131"/>
        <w:gridCol w:w="1131"/>
        <w:gridCol w:w="1131"/>
      </w:tblGrid>
      <w:tr>
        <w:trPr>
          <w:tblHeader/>
          <w:cantSplit/>
        </w:trPr>
        <w:tc>
          <w:tcPr>
            <w:vAlign w:val="center"/>
            <w:tcBorders>
              <w:bottom w:val="single" w:sz="8" w:space="0" w:color="000000"/>
            </w:tcBorders>
          </w:tcPr>
          <w:p>
            <w:pPr>
              <w:pStyle w:val="MDPI42tablebody"/>
              <w:jc w:val="center"/>
            </w:pPr>
            <w:r>
              <w:rPr>
                <w:b/>
              </w:rPr>
              <w:t xml:space="preserve">Feature library</w:t>
            </w:r>
          </w:p>
        </w:tc>
        <w:tc>
          <w:tcPr>
            <w:vAlign w:val="center"/>
            <w:tcBorders>
              <w:bottom w:val="single" w:sz="8" w:space="0" w:color="000000"/>
            </w:tcBorders>
          </w:tcPr>
          <w:p>
            <w:pPr>
              <w:pStyle w:val="MDPI42tablebody"/>
              <w:jc w:val="center"/>
            </w:pPr>
            <w:r>
              <w:rPr>
                <w:b/>
              </w:rPr>
              <w:t xml:space="preserve">Features</w:t>
            </w:r>
          </w:p>
        </w:tc>
        <w:tc>
          <w:tcPr>
            <w:vAlign w:val="center"/>
            <w:tcBorders>
              <w:bottom w:val="single" w:sz="8" w:space="0" w:color="000000"/>
            </w:tcBorders>
          </w:tcPr>
          <w:p>
            <w:pPr>
              <w:pStyle w:val="MDPI42tablebody"/>
              <w:jc w:val="center"/>
            </w:pPr>
            <m:oMath>
              <m:r>
                <m:t>κ</m:t>
              </m:r>
            </m:oMath>
            <w:r>
              <w:rPr>
                <w:b/>
              </w:rPr>
              <w:t xml:space="preserve">​</w:t>
            </w:r>
          </w:p>
        </w:tc>
        <w:tc>
          <w:tcPr>
            <w:vAlign w:val="center"/>
            <w:tcBorders>
              <w:bottom w:val="single" w:sz="8" w:space="0" w:color="000000"/>
            </w:tcBorders>
          </w:tcPr>
          <w:p>
            <w:pPr>
              <w:pStyle w:val="MDPI42tablebody"/>
              <w:jc w:val="center"/>
            </w:pPr>
            <w:r>
              <w:rPr>
                <w:b/>
              </w:rPr>
              <w:t xml:space="preserve">Terms</w:t>
            </w:r>
          </w:p>
        </w:tc>
        <w:tc>
          <w:tcPr>
            <w:vAlign w:val="center"/>
            <w:tcBorders>
              <w:bottom w:val="single" w:sz="8" w:space="0" w:color="000000"/>
            </w:tcBorders>
          </w:tcPr>
          <w:p>
            <w:pPr>
              <w:pStyle w:val="MDPI42tablebody"/>
              <w:jc w:val="center"/>
            </w:pPr>
            <w:r>
              <w:rPr>
                <w:b/>
              </w:rPr>
              <w:t xml:space="preserve">One-step RMSE</w:t>
            </w:r>
          </w:p>
        </w:tc>
        <w:tc>
          <w:tcPr>
            <w:vAlign w:val="center"/>
            <w:tcBorders>
              <w:bottom w:val="single" w:sz="8" w:space="0" w:color="000000"/>
            </w:tcBorders>
          </w:tcPr>
          <w:p>
            <w:pPr>
              <w:pStyle w:val="MDPI42tablebody"/>
              <w:jc w:val="center"/>
            </w:pPr>
            <w:r>
              <w:rPr>
                <w:b/>
              </w:rPr>
              <w:t xml:space="preserve">Rollout RMSE, median [IQR]</w:t>
            </w:r>
          </w:p>
        </w:tc>
        <w:tc>
          <w:tcPr>
            <w:vAlign w:val="center"/>
            <w:tcBorders>
              <w:bottom w:val="single" w:sz="8" w:space="0" w:color="000000"/>
            </w:tcBorders>
          </w:tcPr>
          <w:p>
            <w:pPr>
              <w:pStyle w:val="MDPI42tablebody"/>
              <w:jc w:val="center"/>
            </w:pPr>
            <w:r>
              <w:rPr>
                <w:b/>
              </w:rPr>
              <w:t xml:space="preserve">Diverged</w:t>
            </w:r>
          </w:p>
        </w:tc>
      </w:tr>
      <w:tr>
        <w:trPr>
          <w:cantSplit/>
        </w:trP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(°C)</w:t>
            </w:r>
          </w:p>
        </w:tc>
        <w:tc>
          <w:tcPr>
            <w:vAlign w:val="center"/>
          </w:tcPr>
          <w:p>
            <w:pPr>
              <w:pStyle w:val="MDPI42tablebody"/>
              <w:jc w:val="center"/>
            </w:pPr>
            <w:r>
              <w:t xml:space="preserve">(°C)</w:t>
            </w:r>
          </w:p>
        </w:tc>
        <w:tc>
          <w:tcPr>
            <w:vAlign w:val="center"/>
          </w:tcPr>
          <w:p>
            <w:pPr>
              <w:pStyle w:val="MDPI42tablebody"/>
              <w:jc w:val="center"/>
            </w:pPr>
            <w:r>
              <w:t xml:space="preserve">(fraction)</w:t>
            </w:r>
          </w:p>
        </w:tc>
      </w:tr>
      <w:tr>
        <w:trPr>
          <w:cantSplit/>
        </w:trPr>
        <w:tc>
          <w:tcPr>
            <w:gridSpan w:val="7"/>
            <w:vAlign w:val="center"/>
          </w:tcPr>
          <w:p>
            <w:pPr>
              <w:pStyle w:val="MDPI42tablebody"/>
              <w:jc w:val="center"/>
            </w:pPr>
            <w:r>
              <w:rPr>
                <w:i/>
                <w:iCs/>
              </w:rPr>
              <w:t xml:space="preserve">In-sample</w:t>
            </w:r>
          </w:p>
        </w:tc>
      </w:tr>
      <w:tr>
        <w:trPr>
          <w:cantSplit/>
        </w:trPr>
        <w:tc>
          <w:tcPr>
            <w:vAlign w:val="center"/>
          </w:tcPr>
          <w:p>
            <w:pPr>
              <w:pStyle w:val="MDPI42tablebody"/>
              <w:jc w:val="center"/>
            </w:pPr>
            <w:r>
              <w:t xml:space="preserve">Raw (physics-free)</w:t>
            </w:r>
          </w:p>
        </w:tc>
        <w:tc>
          <w:tcPr>
            <w:vAlign w:val="center"/>
          </w:tcPr>
          <w:p>
            <w:pPr>
              <w:pStyle w:val="MDPI42tablebody"/>
              <w:jc w:val="center"/>
            </w:pPr>
            <w:r>
              <w:t xml:space="preserve">11</w:t>
            </w:r>
          </w:p>
        </w:tc>
        <w:tc>
          <w:tcPr>
            <w:vAlign w:val="center"/>
          </w:tcPr>
          <w:p>
            <w:pPr>
              <w:pStyle w:val="MDPI42tablebody"/>
              <w:jc w:val="center"/>
            </w:pPr>
            <w:r>
              <w:rPr>
                <w:b/>
                <w:bCs/>
              </w:rPr>
              <w:t xml:space="preserve">8.2</w:t>
            </w:r>
          </w:p>
        </w:tc>
        <w:tc>
          <w:tcPr>
            <w:vAlign w:val="center"/>
          </w:tcPr>
          <w:p>
            <w:pPr>
              <w:pStyle w:val="MDPI42tablebody"/>
              <w:jc w:val="center"/>
            </w:pPr>
            <w:r>
              <w:rPr>
                <w:b/>
                <w:bCs/>
              </w:rPr>
              <w:t xml:space="preserve">20.6</w:t>
            </w:r>
          </w:p>
        </w:tc>
        <w:tc>
          <w:tcPr>
            <w:vAlign w:val="center"/>
          </w:tcPr>
          <w:p>
            <w:pPr>
              <w:pStyle w:val="MDPI42tablebody"/>
              <w:jc w:val="center"/>
            </w:pPr>
            <w:r>
              <w:t xml:space="preserve">1.84</w:t>
            </w:r>
          </w:p>
        </w:tc>
        <w:tc>
          <w:tcPr>
            <w:vAlign w:val="center"/>
          </w:tcPr>
          <w:p>
            <w:pPr>
              <w:pStyle w:val="MDPI42tablebody"/>
              <w:jc w:val="center"/>
            </w:pPr>
            <w:r>
              <w:rPr>
                <w:b/>
                <w:bCs/>
              </w:rPr>
              <w:t xml:space="preserve">2.62</w:t>
            </w:r>
            <w:r>
              <w:t xml:space="preserve"> </w:t>
            </w:r>
            <w:r>
              <w:t xml:space="preserve">[2.53, 2.80]</w:t>
            </w:r>
          </w:p>
        </w:tc>
        <w:tc>
          <w:tcPr>
            <w:vAlign w:val="center"/>
          </w:tcPr>
          <w:p>
            <w:pPr>
              <w:pStyle w:val="MDPI42tablebody"/>
              <w:jc w:val="center"/>
            </w:pPr>
            <w:r>
              <w:rPr>
                <w:b/>
                <w:bCs/>
              </w:rPr>
              <w:t xml:space="preserve">0.000</w:t>
            </w:r>
          </w:p>
        </w:tc>
      </w:tr>
      <w:tr>
        <w:trPr>
          <w:cantSplit/>
        </w:trPr>
        <w:tc>
          <w:tcPr>
            <w:vAlign w:val="center"/>
          </w:tcPr>
          <w:p>
            <w:pPr>
              <w:pStyle w:val="MDPI42tablebody"/>
              <w:jc w:val="center"/>
            </w:pPr>
            <w:r>
              <w:t xml:space="preserve">Physics, no cross terms</w:t>
            </w:r>
          </w:p>
        </w:tc>
        <w:tc>
          <w:tcPr>
            <w:vAlign w:val="center"/>
          </w:tcPr>
          <w:p>
            <w:pPr>
              <w:pStyle w:val="MDPI42tablebody"/>
              <w:jc w:val="center"/>
            </w:pPr>
            <w:r>
              <w:t xml:space="preserve">14</w:t>
            </w:r>
          </w:p>
        </w:tc>
        <w:tc>
          <w:tcPr>
            <w:vAlign w:val="center"/>
          </w:tcPr>
          <w:p>
            <w:pPr>
              <w:pStyle w:val="MDPI42tablebody"/>
              <w:jc w:val="center"/>
            </w:pPr>
            <w:r>
              <w:t xml:space="preserve">25.4</w:t>
            </w:r>
          </w:p>
        </w:tc>
        <w:tc>
          <w:tcPr>
            <w:vAlign w:val="center"/>
          </w:tcPr>
          <w:p>
            <w:pPr>
              <w:pStyle w:val="MDPI42tablebody"/>
              <w:jc w:val="center"/>
            </w:pPr>
            <w:r>
              <w:t xml:space="preserve">29.7</w:t>
            </w:r>
          </w:p>
        </w:tc>
        <w:tc>
          <w:tcPr>
            <w:vAlign w:val="center"/>
          </w:tcPr>
          <w:p>
            <w:pPr>
              <w:pStyle w:val="MDPI42tablebody"/>
              <w:jc w:val="center"/>
            </w:pPr>
            <w:r>
              <w:t xml:space="preserve">1.69</w:t>
            </w:r>
          </w:p>
        </w:tc>
        <w:tc>
          <w:tcPr>
            <w:vAlign w:val="center"/>
          </w:tcPr>
          <w:p>
            <w:pPr>
              <w:pStyle w:val="MDPI42tablebody"/>
              <w:jc w:val="center"/>
            </w:pPr>
            <w:r>
              <w:t xml:space="preserve">12.14 [2.88, 14.10]</w:t>
            </w:r>
          </w:p>
        </w:tc>
        <w:tc>
          <w:tcPr>
            <w:vAlign w:val="center"/>
          </w:tcPr>
          <w:p>
            <w:pPr>
              <w:pStyle w:val="MDPI42tablebody"/>
              <w:jc w:val="center"/>
            </w:pPr>
            <w:r>
              <w:t xml:space="preserve">0.021</w:t>
            </w:r>
          </w:p>
        </w:tc>
      </w:tr>
      <w:tr>
        <w:trPr>
          <w:cantSplit/>
        </w:trPr>
        <w:tc>
          <w:tcPr>
            <w:vAlign w:val="center"/>
          </w:tcPr>
          <w:p>
            <w:pPr>
              <w:pStyle w:val="MDPI42tablebody"/>
              <w:jc w:val="center"/>
            </w:pPr>
            <w:r>
              <w:t xml:space="preserve">Physics, full</w:t>
            </w:r>
          </w:p>
        </w:tc>
        <w:tc>
          <w:tcPr>
            <w:vAlign w:val="center"/>
          </w:tcPr>
          <w:p>
            <w:pPr>
              <w:pStyle w:val="MDPI42tablebody"/>
              <w:jc w:val="center"/>
            </w:pPr>
            <w:r>
              <w:t xml:space="preserve">18</w:t>
            </w:r>
          </w:p>
        </w:tc>
        <w:tc>
          <w:tcPr>
            <w:vAlign w:val="center"/>
          </w:tcPr>
          <w:p>
            <w:pPr>
              <w:pStyle w:val="MDPI42tablebody"/>
              <w:jc w:val="center"/>
            </w:pPr>
            <w:r>
              <w:t xml:space="preserve">56.2</w:t>
            </w:r>
          </w:p>
        </w:tc>
        <w:tc>
          <w:tcPr>
            <w:vAlign w:val="center"/>
          </w:tcPr>
          <w:p>
            <w:pPr>
              <w:pStyle w:val="MDPI42tablebody"/>
              <w:jc w:val="center"/>
            </w:pPr>
            <w:r>
              <w:t xml:space="preserve">36.6</w:t>
            </w:r>
          </w:p>
        </w:tc>
        <w:tc>
          <w:tcPr>
            <w:vAlign w:val="center"/>
          </w:tcPr>
          <w:p>
            <w:pPr>
              <w:pStyle w:val="MDPI42tablebody"/>
              <w:jc w:val="center"/>
            </w:pPr>
            <w:r>
              <w:rPr>
                <w:b/>
                <w:bCs/>
              </w:rPr>
              <w:t xml:space="preserve">1.64</w:t>
            </w:r>
          </w:p>
        </w:tc>
        <w:tc>
          <w:tcPr>
            <w:vAlign w:val="center"/>
          </w:tcPr>
          <w:p>
            <w:pPr>
              <w:pStyle w:val="MDPI42tablebody"/>
              <w:jc w:val="center"/>
            </w:pPr>
            <w:r>
              <w:t xml:space="preserve">21.88 [18.06, 25.58]</w:t>
            </w:r>
          </w:p>
        </w:tc>
        <w:tc>
          <w:tcPr>
            <w:vAlign w:val="center"/>
          </w:tcPr>
          <w:p>
            <w:pPr>
              <w:pStyle w:val="MDPI42tablebody"/>
              <w:jc w:val="center"/>
            </w:pPr>
            <w:r>
              <w:t xml:space="preserve">0.078</w:t>
            </w:r>
          </w:p>
        </w:tc>
      </w:tr>
      <w:tr>
        <w:trPr>
          <w:cantSplit/>
        </w:trPr>
        <w:tc>
          <w:tcPr>
            <w:gridSpan w:val="7"/>
            <w:vAlign w:val="center"/>
          </w:tcPr>
          <w:p>
            <w:pPr>
              <w:pStyle w:val="MDPI42tablebody"/>
              <w:jc w:val="center"/>
            </w:pPr>
            <w:r>
              <w:rPr>
                <w:i/>
                <w:iCs/>
              </w:rPr>
              <w:t xml:space="preserve">Held-out year</w:t>
            </w:r>
          </w:p>
        </w:tc>
      </w:tr>
      <w:tr>
        <w:trPr>
          <w:cantSplit/>
        </w:trPr>
        <w:tc>
          <w:tcPr>
            <w:vAlign w:val="center"/>
          </w:tcPr>
          <w:p>
            <w:pPr>
              <w:pStyle w:val="MDPI42tablebody"/>
              <w:jc w:val="center"/>
            </w:pPr>
            <w:r>
              <w:t xml:space="preserve">Raw (physics-free)</w:t>
            </w:r>
          </w:p>
        </w:tc>
        <w:tc>
          <w:tcPr>
            <w:vAlign w:val="center"/>
          </w:tcPr>
          <w:p>
            <w:pPr>
              <w:pStyle w:val="MDPI42tablebody"/>
              <w:jc w:val="center"/>
            </w:pPr>
            <w:r>
              <w:t xml:space="preserve">11</w:t>
            </w:r>
          </w:p>
        </w:tc>
        <w:tc>
          <w:tcPr>
            <w:vAlign w:val="center"/>
          </w:tcPr>
          <w:p>
            <w:pPr>
              <w:pStyle w:val="MDPI42tablebody"/>
              <w:jc w:val="center"/>
            </w:pPr>
            <w:r>
              <w:rPr>
                <w:b/>
                <w:bCs/>
              </w:rPr>
              <w:t xml:space="preserve">8.2</w:t>
            </w:r>
          </w:p>
        </w:tc>
        <w:tc>
          <w:tcPr>
            <w:vAlign w:val="center"/>
          </w:tcPr>
          <w:p>
            <w:pPr>
              <w:pStyle w:val="MDPI42tablebody"/>
              <w:jc w:val="center"/>
            </w:pPr>
            <w:r>
              <w:rPr>
                <w:b/>
                <w:bCs/>
              </w:rPr>
              <w:t xml:space="preserve">20.6</w:t>
            </w:r>
          </w:p>
        </w:tc>
        <w:tc>
          <w:tcPr>
            <w:vAlign w:val="center"/>
          </w:tcPr>
          <w:p>
            <w:pPr>
              <w:pStyle w:val="MDPI42tablebody"/>
              <w:jc w:val="center"/>
            </w:pPr>
            <w:r>
              <w:t xml:space="preserve">1.90</w:t>
            </w:r>
          </w:p>
        </w:tc>
        <w:tc>
          <w:tcPr>
            <w:vAlign w:val="center"/>
          </w:tcPr>
          <w:p>
            <w:pPr>
              <w:pStyle w:val="MDPI42tablebody"/>
              <w:jc w:val="center"/>
            </w:pPr>
            <w:r>
              <w:rPr>
                <w:b/>
                <w:bCs/>
              </w:rPr>
              <w:t xml:space="preserve">2.72</w:t>
            </w:r>
            <w:r>
              <w:t xml:space="preserve"> </w:t>
            </w:r>
            <w:r>
              <w:t xml:space="preserve">[2.63, 2.84]</w:t>
            </w:r>
          </w:p>
        </w:tc>
        <w:tc>
          <w:tcPr>
            <w:vAlign w:val="center"/>
          </w:tcPr>
          <w:p>
            <w:pPr>
              <w:pStyle w:val="MDPI42tablebody"/>
              <w:jc w:val="center"/>
            </w:pPr>
            <w:r>
              <w:rPr>
                <w:b/>
                <w:bCs/>
              </w:rPr>
              <w:t xml:space="preserve">0.000</w:t>
            </w:r>
          </w:p>
        </w:tc>
      </w:tr>
      <w:tr>
        <w:trPr>
          <w:cantSplit/>
        </w:trPr>
        <w:tc>
          <w:tcPr>
            <w:vAlign w:val="center"/>
          </w:tcPr>
          <w:p>
            <w:pPr>
              <w:pStyle w:val="MDPI42tablebody"/>
              <w:jc w:val="center"/>
            </w:pPr>
            <w:r>
              <w:t xml:space="preserve">Physics, no cross terms</w:t>
            </w:r>
          </w:p>
        </w:tc>
        <w:tc>
          <w:tcPr>
            <w:vAlign w:val="center"/>
          </w:tcPr>
          <w:p>
            <w:pPr>
              <w:pStyle w:val="MDPI42tablebody"/>
              <w:jc w:val="center"/>
            </w:pPr>
            <w:r>
              <w:t xml:space="preserve">14</w:t>
            </w:r>
          </w:p>
        </w:tc>
        <w:tc>
          <w:tcPr>
            <w:vAlign w:val="center"/>
          </w:tcPr>
          <w:p>
            <w:pPr>
              <w:pStyle w:val="MDPI42tablebody"/>
              <w:jc w:val="center"/>
            </w:pPr>
            <w:r>
              <w:t xml:space="preserve">25.4</w:t>
            </w:r>
          </w:p>
        </w:tc>
        <w:tc>
          <w:tcPr>
            <w:vAlign w:val="center"/>
          </w:tcPr>
          <w:p>
            <w:pPr>
              <w:pStyle w:val="MDPI42tablebody"/>
              <w:jc w:val="center"/>
            </w:pPr>
            <w:r>
              <w:t xml:space="preserve">29.7</w:t>
            </w:r>
          </w:p>
        </w:tc>
        <w:tc>
          <w:tcPr>
            <w:vAlign w:val="center"/>
          </w:tcPr>
          <w:p>
            <w:pPr>
              <w:pStyle w:val="MDPI42tablebody"/>
              <w:jc w:val="center"/>
            </w:pPr>
            <w:r>
              <w:t xml:space="preserve">1.82</w:t>
            </w:r>
          </w:p>
        </w:tc>
        <w:tc>
          <w:tcPr>
            <w:vAlign w:val="center"/>
          </w:tcPr>
          <w:p>
            <w:pPr>
              <w:pStyle w:val="MDPI42tablebody"/>
              <w:jc w:val="center"/>
            </w:pPr>
            <w:r>
              <w:t xml:space="preserve">15.42 [2.69, 21.13]</w:t>
            </w:r>
          </w:p>
        </w:tc>
        <w:tc>
          <w:tcPr>
            <w:vAlign w:val="center"/>
          </w:tcPr>
          <w:p>
            <w:pPr>
              <w:pStyle w:val="MDPI42tablebody"/>
              <w:jc w:val="center"/>
            </w:pPr>
            <w:r>
              <w:t xml:space="preserve">0.046</w:t>
            </w:r>
          </w:p>
        </w:tc>
      </w:tr>
      <w:tr>
        <w:trPr>
          <w:cantSplit/>
        </w:trPr>
        <w:tc>
          <w:tcPr>
            <w:vAlign w:val="center"/>
          </w:tcPr>
          <w:p>
            <w:pPr>
              <w:pStyle w:val="MDPI42tablebody"/>
              <w:jc w:val="center"/>
            </w:pPr>
            <w:r>
              <w:t xml:space="preserve">Physics, full</w:t>
            </w:r>
          </w:p>
        </w:tc>
        <w:tc>
          <w:tcPr>
            <w:vAlign w:val="center"/>
          </w:tcPr>
          <w:p>
            <w:pPr>
              <w:pStyle w:val="MDPI42tablebody"/>
              <w:jc w:val="center"/>
            </w:pPr>
            <w:r>
              <w:t xml:space="preserve">18</w:t>
            </w:r>
          </w:p>
        </w:tc>
        <w:tc>
          <w:tcPr>
            <w:vAlign w:val="center"/>
          </w:tcPr>
          <w:p>
            <w:pPr>
              <w:pStyle w:val="MDPI42tablebody"/>
              <w:jc w:val="center"/>
            </w:pPr>
            <w:r>
              <w:t xml:space="preserve">56.2</w:t>
            </w:r>
          </w:p>
        </w:tc>
        <w:tc>
          <w:tcPr>
            <w:vAlign w:val="center"/>
          </w:tcPr>
          <w:p>
            <w:pPr>
              <w:pStyle w:val="MDPI42tablebody"/>
              <w:jc w:val="center"/>
            </w:pPr>
            <w:r>
              <w:t xml:space="preserve">36.6</w:t>
            </w:r>
          </w:p>
        </w:tc>
        <w:tc>
          <w:tcPr>
            <w:vAlign w:val="center"/>
          </w:tcPr>
          <w:p>
            <w:pPr>
              <w:pStyle w:val="MDPI42tablebody"/>
              <w:jc w:val="center"/>
            </w:pPr>
            <w:r>
              <w:rPr>
                <w:b/>
                <w:bCs/>
              </w:rPr>
              <w:t xml:space="preserve">1.77</w:t>
            </w:r>
          </w:p>
        </w:tc>
        <w:tc>
          <w:tcPr>
            <w:vAlign w:val="center"/>
          </w:tcPr>
          <w:p>
            <w:pPr>
              <w:pStyle w:val="MDPI42tablebody"/>
              <w:jc w:val="center"/>
            </w:pPr>
            <w:r>
              <w:t xml:space="preserve">21.57 [15.56, 31.74]</w:t>
            </w:r>
          </w:p>
        </w:tc>
        <w:tc>
          <w:tcPr>
            <w:vAlign w:val="center"/>
          </w:tcPr>
          <w:p>
            <w:pPr>
              <w:pStyle w:val="MDPI42tablebody"/>
              <w:jc w:val="center"/>
            </w:pPr>
            <w:r>
              <w:t xml:space="preserve">0.086</w:t>
            </w:r>
          </w:p>
        </w:tc>
      </w:tr>
    </w:tbl>
    <w:bookmarkEnd w:id="80"/>
    <w:p/>
    <w:bookmarkStart w:id="81" w:name="tab:disc-defects"/>
    <w:p>
      <w:pPr>
        <w:pStyle w:val="MDPI41tablecaption"/>
        <w:keepNext/>
      </w:pPr>
      <w:r>
        <w:rPr>
          <w:b/>
        </w:rPr>
        <w:t xml:space="preserve">Table 15. </w:t>
      </w:r>
      <w:r>
        <w:t xml:space="preserve">The two comparison defects and what repairing each one cost the</w:t>
      </w:r>
      <w:r>
        <w:t xml:space="preserve"> </w:t>
      </w:r>
      <w:r>
        <w:t xml:space="preserve">headline result. Both were on the authors’ side of the comparison and both had</w:t>
      </w:r>
      <w:r>
        <w:t xml:space="preserve"> </w:t>
      </w:r>
      <w:r>
        <w:t xml:space="preserve">inflated it. EPI is the seasonal margin returned by the simulator.</w:t>
      </w:r>
    </w:p>
    <w:tbl>
      <w:tblPr>
        <w:tblStyle w:val="MDPI41threelinetable"/>
        <w:tblW w:type="dxa" w:w="7920"/>
        <w:tblLook w:firstRow="1" w:lastRow="0" w:firstColumn="0" w:lastColumn="0" w:noHBand="0" w:noVBand="0" w:val="0020"/>
        <w:tblCaption w:val="The two comparison defects and what repairing each one cost the headline result. Both were on the authors’ side of the comparison and both had inflated it. EPI is the seasonal margin returned by the simulator."/>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2640"/>
        <w:gridCol w:w="2640"/>
        <w:gridCol w:w="2640"/>
      </w:tblGrid>
      <w:tr>
        <w:trPr>
          <w:tblHeader w:val="on"/>
          <w:cantSplit/>
        </w:trPr>
        <w:tc>
          <w:tcPr>
            <w:vAlign w:val="center"/>
            <w:tcBorders>
              <w:bottom w:val="single" w:sz="8" w:space="0" w:color="000000"/>
            </w:tcBorders>
          </w:tcPr>
          <w:p>
            <w:pPr>
              <w:pStyle w:val="MDPI42tablebody"/>
              <w:jc w:val="center"/>
            </w:pPr>
          </w:p>
        </w:tc>
        <w:tc>
          <w:tcPr>
            <w:vAlign w:val="center"/>
            <w:tcBorders>
              <w:bottom w:val="single" w:sz="8" w:space="0" w:color="000000"/>
            </w:tcBorders>
          </w:tcPr>
          <w:p>
            <w:pPr>
              <w:pStyle w:val="MDPI42tablebody"/>
              <w:jc w:val="center"/>
            </w:pPr>
            <w:r>
              <w:rPr>
                <w:i/>
                <w:iCs/>
                <w:b/>
              </w:rPr>
              <w:t xml:space="preserve">Defect 1</w:t>
            </w:r>
            <w:r>
              <w:rPr>
                <w:b/>
              </w:rPr>
              <w:t xml:space="preserve">: untuned baseline</w:t>
            </w:r>
          </w:p>
        </w:tc>
        <w:tc>
          <w:tcPr>
            <w:vAlign w:val="center"/>
            <w:tcBorders>
              <w:bottom w:val="single" w:sz="8" w:space="0" w:color="000000"/>
            </w:tcBorders>
          </w:tcPr>
          <w:p>
            <w:pPr>
              <w:pStyle w:val="MDPI42tablebody"/>
              <w:jc w:val="center"/>
            </w:pPr>
            <w:r>
              <w:rPr>
                <w:i/>
                <w:iCs/>
                <w:b/>
              </w:rPr>
              <w:t xml:space="preserve">Defect 2</w:t>
            </w:r>
            <w:r>
              <w:rPr>
                <w:b/>
              </w:rPr>
              <w:t xml:space="preserve">: mis-weighted stage cost</w:t>
            </w:r>
          </w:p>
        </w:tc>
      </w:tr>
      <w:tr>
        <w:trPr>
          <w:cantSplit/>
        </w:trPr>
        <w:tc>
          <w:tcPr>
            <w:vAlign w:val="center"/>
          </w:tcPr>
          <w:p>
            <w:pPr>
              <w:pStyle w:val="MDPI42tablebody"/>
              <w:jc w:val="center"/>
            </w:pPr>
            <w:r>
              <w:t xml:space="preserve">What was wrong</w:t>
            </w:r>
          </w:p>
        </w:tc>
        <w:tc>
          <w:tcPr>
            <w:vAlign w:val="center"/>
          </w:tcPr>
          <w:p>
            <w:pPr>
              <w:pStyle w:val="MDPI42tablebody"/>
              <w:jc w:val="left"/>
            </w:pPr>
            <w:r>
              <w:t xml:space="preserve">the reference heuristic was called</w:t>
            </w:r>
            <w:r>
              <w:t xml:space="preserve"> </w:t>
            </w:r>
            <w:r>
              <w:t xml:space="preserve">“tuned”</w:t>
            </w:r>
            <w:r>
              <w:t xml:space="preserve"> </w:t>
            </w:r>
            <w:r>
              <w:t xml:space="preserve">but its setpoints were hard-coded and never searched</w:t>
            </w:r>
          </w:p>
        </w:tc>
        <w:tc>
          <w:tcPr>
            <w:vAlign w:val="center"/>
          </w:tcPr>
          <w:p>
            <w:pPr>
              <w:pStyle w:val="MDPI42tablebody"/>
              <w:jc w:val="left"/>
            </w:pPr>
            <w:r>
              <w:t xml:space="preserve">actuators weighted</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while the measured marginal costs are</w:t>
            </w:r>
            <w:r>
              <w:t xml:space="preserve"> </w:t>
            </w:r>
            <m:oMath>
              <m:r>
                <m:t>1</m:t>
              </m:r>
              <m:r>
                <m:rPr>
                  <m:sty m:val="p"/>
                </m:rPr>
                <m:t>:</m:t>
              </m:r>
              <m:r>
                <m:t>2.97</m:t>
              </m:r>
              <m:r>
                <m:rPr>
                  <m:sty m:val="p"/>
                </m:rPr>
                <m:t>:</m:t>
              </m:r>
              <m:r>
                <m:t>0.46</m:t>
              </m:r>
            </m:oMath>
          </w:p>
        </w:tc>
      </w:tr>
      <w:tr>
        <w:trPr>
          <w:cantSplit/>
        </w:trPr>
        <w:tc>
          <w:tcPr>
            <w:vAlign w:val="center"/>
          </w:tcPr>
          <w:p>
            <w:pPr>
              <w:pStyle w:val="MDPI42tablebody"/>
              <w:jc w:val="center"/>
            </w:pPr>
            <w:r>
              <w:t xml:space="preserve">Repair</w:t>
            </w:r>
          </w:p>
        </w:tc>
        <w:tc>
          <w:tcPr>
            <w:vAlign w:val="center"/>
          </w:tcPr>
          <w:p>
            <w:pPr>
              <w:pStyle w:val="MDPI42tablebody"/>
              <w:jc w:val="left"/>
            </w:pPr>
            <w:r>
              <w:t xml:space="preserve">16 random trials, the budget the reinforcement-learning agents received; selection on training years only. The MPCs received no search at all, an asymmetry running against them</w:t>
            </w:r>
          </w:p>
        </w:tc>
        <w:tc>
          <w:tcPr>
            <w:vAlign w:val="center"/>
          </w:tcPr>
          <w:p>
            <w:pPr>
              <w:pStyle w:val="MDPI42tablebody"/>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rPr>
          <w:cantSplit/>
        </w:trPr>
        <w:tc>
          <w:tcPr>
            <w:vAlign w:val="center"/>
          </w:tcPr>
          <w:p>
            <w:pPr>
              <w:pStyle w:val="MDPI42tablebody"/>
              <w:jc w:val="center"/>
            </w:pPr>
            <w:r>
              <w:t xml:space="preserve">Direct effect</w:t>
            </w:r>
          </w:p>
        </w:tc>
        <w:tc>
          <w:tcPr>
            <w:vAlign w:val="center"/>
          </w:tcPr>
          <w:p>
            <w:pPr>
              <w:pStyle w:val="MDPI42tablebody"/>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center"/>
          </w:tcPr>
          <w:p>
            <w:pPr>
              <w:pStyle w:val="MDPI42tablebody"/>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rPr>
          <w:cantSplit/>
        </w:trPr>
        <w:tc>
          <w:tcPr>
            <w:vAlign w:val="center"/>
          </w:tcPr>
          <w:p>
            <w:pPr>
              <w:pStyle w:val="MDPI42tablebody"/>
              <w:jc w:val="center"/>
            </w:pPr>
            <w:r>
              <w:t xml:space="preserve">Effect on the claim</w:t>
            </w:r>
          </w:p>
        </w:tc>
        <w:tc>
          <w:tcPr>
            <w:vAlign w:val="center"/>
          </w:tcPr>
          <w:p>
            <w:pPr>
              <w:pStyle w:val="MDPI42tablebody"/>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center"/>
          </w:tcPr>
          <w:p>
            <w:pPr>
              <w:pStyle w:val="MDPI42tablebody"/>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rPr>
          <w:cantSplit/>
        </w:trPr>
        <w:tc>
          <w:tcPr>
            <w:vAlign w:val="center"/>
          </w:tcPr>
          <w:p>
            <w:pPr>
              <w:pStyle w:val="MDPI42tablebody"/>
              <w:jc w:val="center"/>
            </w:pPr>
            <w:r>
              <w:t xml:space="preserve">Also changed</w:t>
            </w:r>
          </w:p>
        </w:tc>
        <w:tc>
          <w:tcPr>
            <w:vAlign w:val="center"/>
          </w:tcPr>
          <w:p>
            <w:pPr>
              <w:pStyle w:val="MDPI42tablebody"/>
              <w:jc w:val="left"/>
            </w:pPr>
            <w:r>
              <w:t xml:space="preserve">the heuristic moves onto the two-axis front, which it had not held untuned</w:t>
            </w:r>
          </w:p>
        </w:tc>
        <w:tc>
          <w:tcPr>
            <w:vAlign w:val="center"/>
          </w:tcPr>
          <w:p>
            <w:pPr>
              <w:pStyle w:val="MDPI42tablebody"/>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1"/>
    <w:bookmarkStart w:id="85" w:name="fig:disc-corrections"/>
    <w:p>
      <w:pPr>
        <w:pStyle w:val="MDPI52figure"/>
        <w:jc w:val="center"/>
        <w:keepNext/>
      </w:pPr>
      <w:r>
        <w:drawing>
          <wp:inline>
            <wp:extent cx="6209981" cy="2863796"/>
            <wp:effectExtent b="0" l="0" r="0" t="0"/>
            <wp:docPr descr="" title="" id="83" name="Picture"/>
            <a:graphic>
              <a:graphicData uri="http://schemas.openxmlformats.org/drawingml/2006/picture">
                <pic:pic>
                  <pic:nvPicPr>
                    <pic:cNvPr descr="figures/fig5_corrections_waterfall.png" id="84" name="Picture"/>
                    <pic:cNvPicPr>
                      <a:picLocks noChangeArrowheads="1" noChangeAspect="1"/>
                    </pic:cNvPicPr>
                  </pic:nvPicPr>
                  <pic:blipFill>
                    <a:blip r:embed="rId82"/>
                    <a:stretch>
                      <a:fillRect/>
                    </a:stretch>
                  </pic:blipFill>
                  <pic:spPr bwMode="auto">
                    <a:xfrm>
                      <a:off x="0" y="0"/>
                      <a:ext cx="6209981" cy="2863796"/>
                    </a:xfrm>
                    <a:prstGeom prst="rect">
                      <a:avLst/>
                    </a:prstGeom>
                    <a:noFill/>
                    <a:ln w="9525">
                      <a:noFill/>
                      <a:headEnd/>
                      <a:tailEnd/>
                    </a:ln>
                  </pic:spPr>
                </pic:pic>
              </a:graphicData>
            </a:graphic>
          </wp:inline>
        </w:drawing>
      </w:r>
    </w:p>
    <w:p>
      <w:pPr>
        <w:pStyle w:val="MDPI51figurecaption"/>
        <w:keepLines/>
      </w:pPr>
      <w:r>
        <w:rPr>
          <w:b/>
        </w:rPr>
        <w:t xml:space="preserve">Figure 5. </w:t>
      </w:r>
      <w:r>
        <w:t xml:space="preserve">Where the apparent effect went. Repairing the untuned baseline removed</w:t>
      </w:r>
      <w:r>
        <w:t xml:space="preserve"> </w:t>
      </w:r>
      <w:r>
        <w:t xml:space="preserve">a factor of</w:t>
      </w:r>
      <w:r>
        <w:t xml:space="preserve"> </w:t>
      </w:r>
      <m:oMath>
        <m:r>
          <m:t>2.7</m:t>
        </m:r>
      </m:oMath>
      <w:r>
        <w:t xml:space="preserve"> </w:t>
      </w:r>
      <w:r>
        <w:t xml:space="preserve">from the raw library’s advantage over the agronomic heuristic;</w:t>
      </w:r>
      <w:r>
        <w:t xml:space="preserve"> </w:t>
      </w:r>
      <w:r>
        <w:t xml:space="preserve">pricing the stage cost consistently with the evaluation criterion removed</w:t>
      </w:r>
      <w:r>
        <w:t xml:space="preserve"> </w:t>
      </w:r>
      <w:r>
        <w:t xml:space="preserve">two-thirds of the apparent library effect. Both corrections leave the direction</w:t>
      </w:r>
      <w:r>
        <w:t xml:space="preserve"> </w:t>
      </w:r>
      <w:r>
        <w:t xml:space="preserve">of the result intact and its magnitude much smaller. Source files are named in</w:t>
      </w:r>
      <w:r>
        <w:t xml:space="preserve"> </w:t>
      </w:r>
      <w:r>
        <w:t xml:space="preserve">the LaTeX comment preceding this caption.</w:t>
      </w:r>
    </w:p>
    <w:bookmarkEnd w:id="85"/>
    <w:bookmarkEnd w:id="86"/>
    <w:bookmarkEnd w:id="87"/>
    <w:bookmarkStart w:id="93" w:name="sec:conclusions"/>
    <w:p>
      <w:pPr>
        <w:pStyle w:val="MDPI21heading1"/>
        <w:keepNext/>
      </w:pPr>
      <w:r>
        <w:t xml:space="preserve">5. </w:t>
      </w:r>
      <w:r>
        <w:t xml:space="preserve">Conclusions</w:t>
      </w:r>
    </w:p>
    <w:p>
      <w:pPr>
        <w:pStyle w:val="MDPI31text"/>
      </w:pPr>
      <w:r>
        <w:t xml:space="preserve">We asked which open-loop criterion should select a data-driven surrogate for</w:t>
      </w:r>
      <w:r>
        <w:t xml:space="preserve"> </w:t>
      </w:r>
      <w:r>
        <w:t xml:space="preserve">economic MPC, and what explains its success. Multi-step stability selects;</w:t>
      </w:r>
      <w:r>
        <w:t xml:space="preserve"> </w:t>
      </w:r>
      <w:r>
        <w:t xml:space="preserve">survival of the actuator term through the sparsity threshold, not conditioning,</w:t>
      </w:r>
      <w:r>
        <w:t xml:space="preserve"> </w:t>
      </w:r>
      <w:r>
        <w:t xml:space="preserve">explains (Figure </w:t>
      </w:r>
      <w:hyperlink w:anchor="fig:graphical-abstract">
        <w:r>
          <w:rPr>
            <w:rStyle w:val="Hyperlink"/>
          </w:rPr>
          <w:t xml:space="preserve">6</w:t>
        </w:r>
      </w:hyperlink>
      <w:r>
        <w:t xml:space="preserve">).</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[14,16–18,21].</w:t>
      </w:r>
    </w:p>
    <w:p>
      <w:pPr>
        <w:numPr>
          <w:ilvl w:val="0"/>
          <w:numId w:val="1003"/>
        </w:numPr>
      </w:pPr>
      <w:r>
        <w:rPr>
          <w:b/>
          <w:bCs/>
        </w:rPr>
        <w:t xml:space="preserve">The library that multi-step stability selects also gives the best</w:t>
      </w:r>
      <w:r>
        <w:rPr>
          <w:b/>
          <w:bCs/>
        </w:rPr>
        <w:t xml:space="preserve"> </w:t>
      </w:r>
      <w:r>
        <w:rPr>
          <w:b/>
          <w:bCs/>
        </w:rPr>
        <w:t xml:space="preserve">closed-loop economics, once both comparison defects are corrected.</w:t>
      </w:r>
      <w:r>
        <w:t xml:space="preserve"> </w:t>
      </w:r>
      <w:r>
        <w:t xml:space="preserve">Across</w:t>
      </w:r>
      <w:r>
        <w:t xml:space="preserve"> </w:t>
      </w:r>
      <w:r>
        <w:t xml:space="preserve">fifteen controllers on four test seasons the raw-library ensemble surrogate</w:t>
      </w:r>
      <w:r>
        <w:t xml:space="preserve"> </w:t>
      </w:r>
      <w:r>
        <w:t xml:space="preserve">[10]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4.6</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[30–31]. Tuning was worth</w:t>
      </w:r>
      <w:r>
        <w:t xml:space="preserve"> </w:t>
      </w:r>
      <m:oMath>
        <m:r>
          <m:rPr>
            <m:sty m:val="p"/>
          </m:rPr>
          <m:t>+</m:t>
        </m:r>
        <m:r>
          <m:t>3.49</m:t>
        </m:r>
      </m:oMath>
      <w:r>
        <w:t xml:space="preserve">,</w:t>
      </w:r>
      <w:r>
        <w:t xml:space="preserve"> </w:t>
      </w:r>
      <w:r>
        <w:t xml:space="preserve">and repricing the actuator weights cut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survives, the magnitude does not.</w:t>
      </w:r>
    </w:p>
    <w:p>
      <w:pPr>
        <w:numPr>
          <w:ilvl w:val="0"/>
          <w:numId w:val="1003"/>
        </w:numPr>
      </w:pPr>
      <w:r>
        <w:rPr>
          <w:b/>
          <w:bCs/>
        </w:rPr>
        <w:t xml:space="preserve">Physically motivated features hurt, but non-monotonically, and</w:t>
      </w:r>
      <w:r>
        <w:rPr>
          <w:b/>
          <w:bCs/>
        </w:rPr>
        <w:t xml:space="preserve"> </w:t>
      </w:r>
      <w:r>
        <w:rPr>
          <w:b/>
          <w:bCs/>
        </w:rPr>
        <w:t xml:space="preserve">conditioning does not explain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rPr>
          <w:i/>
          <w:iCs/>
        </w:rPr>
        <w:t xml:space="preserve">denser</w:t>
      </w:r>
      <w:r>
        <w:t xml:space="preserve"> </w:t>
      </w:r>
      <w:r>
        <w:t xml:space="preserve">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and closed-loop economics not</w:t>
      </w:r>
      <w:r>
        <w:t xml:space="preserve"> </w:t>
      </w:r>
      <w:r>
        <w:t xml:space="preserve">at all [25–26,44].</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The bilinear</w:t>
      </w:r>
      <w:r>
        <w:t xml:space="preserve"> </w:t>
      </w:r>
      <w:r>
        <w:t xml:space="preserve">temperature–boiler detour once offered as the structural explanation has been</w:t>
      </w:r>
      <w:r>
        <w:t xml:space="preserve"> </w:t>
      </w:r>
      <w:r>
        <w:t xml:space="preserve">tested by deleting that single feature and 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[27]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8" w:name="tab:headline"/>
    <w:p>
      <w:pPr>
        <w:pStyle w:val="MDPI41tablecaption"/>
        <w:keepNext/>
        <w:pageBreakBefore w:val="true"/>
      </w:pPr>
      <w:r>
        <w:rPr>
          <w:b/>
        </w:rPr>
        <w:t xml:space="preserve">Table 16. </w:t>
      </w: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dxa" w:w="792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Layout w:type="fixed"/>
        <w:tblBorders>
          <w:top w:val="single" w:sz="8" w:space="0" w:color="000000"/>
          <w:left w:val="nil" w:sz="0" w:space="0" w:color="auto"/>
          <w:bottom w:val="single" w:sz="8" w:space="0" w:color="000000"/>
          <w:right w:val="nil" w:sz="0" w:space="0" w:color="auto"/>
          <w:insideH w:val="nil" w:sz="0" w:space="0" w:color="auto"/>
          <w:insideV w:val="nil" w:sz="0" w:space="0" w:color="auto"/>
        </w:tblBorders>
        <w:tblCellMar>
          <w:top w:w="60" w:type="dxa"/>
          <w:left w:w="80" w:type="dxa"/>
          <w:bottom w:w="60" w:type="dxa"/>
          <w:right w:w="80" w:type="dxa"/>
        </w:tblCellMar>
      </w:tblPr>
      <w:tblGrid>
        <w:gridCol w:w="2640"/>
        <w:gridCol w:w="2640"/>
        <w:gridCol w:w="2640"/>
      </w:tblGrid>
      <w:tr>
        <w:trPr>
          <w:tblHeader w:val="on"/>
          <w:cantSplit/>
        </w:trPr>
        <w:tc>
          <w:tcPr>
            <w:vAlign w:val="center"/>
            <w:tcBorders>
              <w:bottom w:val="single" w:sz="8" w:space="0" w:color="000000"/>
            </w:tcBorders>
          </w:tcPr>
          <w:p>
            <w:pPr>
              <w:pStyle w:val="MDPI42tablebody"/>
              <w:jc w:val="center"/>
            </w:pPr>
            <w:r>
              <w:rPr>
                <w:b/>
              </w:rPr>
              <w:t xml:space="preserve">Quantity</w:t>
            </w:r>
          </w:p>
        </w:tc>
        <w:tc>
          <w:tcPr>
            <w:vAlign w:val="center"/>
            <w:tcBorders>
              <w:bottom w:val="single" w:sz="8" w:space="0" w:color="000000"/>
            </w:tcBorders>
          </w:tcPr>
          <w:p>
            <w:pPr>
              <w:pStyle w:val="MDPI42tablebody"/>
              <w:jc w:val="center"/>
            </w:pPr>
            <w:r>
              <w:rPr>
                <w:b/>
              </w:rPr>
              <w:t xml:space="preserve">Value</w:t>
            </w:r>
          </w:p>
        </w:tc>
        <w:tc>
          <w:tcPr>
            <w:vAlign w:val="center"/>
            <w:tcBorders>
              <w:bottom w:val="single" w:sz="8" w:space="0" w:color="000000"/>
            </w:tcBorders>
          </w:tcPr>
          <w:p>
            <w:pPr>
              <w:pStyle w:val="MDPI42tablebody"/>
              <w:jc w:val="center"/>
            </w:pPr>
            <w:r>
              <w:rPr>
                <w:b/>
              </w:rPr>
              <w:t xml:space="preserve">Source file</w:t>
            </w:r>
          </w:p>
        </w:tc>
      </w:tr>
      <w:tr>
        <w:trPr>
          <w:cantSplit/>
        </w:trPr>
        <w:tc>
          <w:tcPr>
            <w:gridSpan w:val="3"/>
            <w:vAlign w:val="center"/>
          </w:tcPr>
          <w:p>
            <w:pPr>
              <w:pStyle w:val="MDPI42tablebody"/>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rPr>
          <w:cantSplit/>
        </w:trPr>
        <w:tc>
          <w:tcPr>
            <w:vAlign w:val="center"/>
          </w:tcPr>
          <w:p>
            <w:pPr>
              <w:pStyle w:val="MDPI42tablebody"/>
              <w:jc w:val="center"/>
            </w:pPr>
            <w:r>
              <w:t xml:space="preserve">One-step RMSE,</w:t>
            </w:r>
            <w:r>
              <w:t xml:space="preserve"> </w:t>
            </w:r>
            <m:oMath>
              <m:sSub>
                <m:e>
                  <m:r>
                    <m:t>T</m:t>
                  </m:r>
                </m:e>
                <m:sub>
                  <m:r>
                    <m:rPr>
                      <m:sty m:val="p"/>
                    </m:rPr>
                    <m:t>in</m:t>
                  </m:r>
                </m:sub>
              </m:sSub>
            </m:oMath>
            <w:r>
              <w:t xml:space="preserve"> </w:t>
            </w:r>
            <w:r>
              <w:t xml:space="preserve">(°C)</w:t>
            </w:r>
          </w:p>
        </w:tc>
        <w:tc>
          <w:tcPr>
            <w:vAlign w:val="center"/>
          </w:tcPr>
          <w:p>
            <w:pPr>
              <w:pStyle w:val="MDPI42tablebody"/>
              <w:jc w:val="center"/>
            </w:pPr>
            <w:r>
              <w:t xml:space="preserve">1.86 / 1.73 / 1.68</w:t>
            </w:r>
          </w:p>
        </w:tc>
        <w:tc>
          <w:tcPr>
            <w:vAlign w:val="center"/>
          </w:tcPr>
          <w:p>
            <w:pPr>
              <w:pStyle w:val="MDPI42tablebody"/>
              <w:jc w:val="center"/>
            </w:pPr>
            <w:r>
              <w:rPr>
                <w:rStyle w:val="VerbatimChar"/>
              </w:rPr>
              <w:t xml:space="preserve">ladder_rerun/ ladder_rerun*.csv</w:t>
            </w:r>
          </w:p>
        </w:tc>
      </w:tr>
      <w:tr>
        <w:trPr>
          <w:cantSplit/>
        </w:trPr>
        <w:tc>
          <w:tcPr>
            <w:vAlign w:val="center"/>
          </w:tcPr>
          <w:p>
            <w:pPr>
              <w:pStyle w:val="MDPI42tablebody"/>
              <w:jc w:val="center"/>
            </w:pPr>
            <w:r>
              <w:t xml:space="preserve">Median 24 h rollout RMSE (°C)</w:t>
            </w:r>
          </w:p>
        </w:tc>
        <w:tc>
          <w:tcPr>
            <w:vAlign w:val="center"/>
          </w:tcPr>
          <w:p>
            <w:pPr>
              <w:pStyle w:val="MDPI42tablebody"/>
              <w:jc w:val="center"/>
            </w:pPr>
            <w:r>
              <w:t xml:space="preserve">2.67 / 10.58 / 24.27</w:t>
            </w:r>
          </w:p>
        </w:tc>
        <w:tc>
          <w:tcPr>
            <w:vAlign w:val="center"/>
          </w:tcPr>
          <w:p>
            <w:pPr>
              <w:pStyle w:val="MDPI42tablebody"/>
              <w:jc w:val="center"/>
            </w:pPr>
            <w:r>
              <w:t xml:space="preserve">as above</w:t>
            </w:r>
          </w:p>
        </w:tc>
      </w:tr>
      <w:tr>
        <w:trPr>
          <w:cantSplit/>
        </w:trPr>
        <w:tc>
          <w:tcPr>
            <w:vAlign w:val="center"/>
          </w:tcPr>
          <w:p>
            <w:pPr>
              <w:pStyle w:val="MDPI42tablebody"/>
              <w:jc w:val="center"/>
            </w:pPr>
            <w:r>
              <w:t xml:space="preserve">Divergence fraction</w:t>
            </w:r>
          </w:p>
        </w:tc>
        <w:tc>
          <w:tcPr>
            <w:vAlign w:val="center"/>
          </w:tcPr>
          <w:p>
            <w:pPr>
              <w:pStyle w:val="MDPI42tablebody"/>
              <w:jc w:val="center"/>
            </w:pPr>
            <w:r>
              <w:t xml:space="preserve">0.000 / 0.020 / 0.076</w:t>
            </w:r>
          </w:p>
        </w:tc>
        <w:tc>
          <w:tcPr>
            <w:vAlign w:val="center"/>
          </w:tcPr>
          <w:p>
            <w:pPr>
              <w:pStyle w:val="MDPI42tablebody"/>
              <w:jc w:val="center"/>
            </w:pPr>
            <w:r>
              <w:t xml:space="preserve">as above</w:t>
            </w:r>
          </w:p>
        </w:tc>
      </w:tr>
      <w:tr>
        <w:trPr>
          <w:cantSplit/>
        </w:trPr>
        <w:tc>
          <w:tcPr>
            <w:vAlign w:val="center"/>
          </w:tcPr>
          <w:p>
            <w:pPr>
              <w:pStyle w:val="MDPI42tablebody"/>
              <w:jc w:val="center"/>
            </w:pPr>
            <w:r>
              <w:t xml:space="preserve">Condition number</w:t>
            </w:r>
            <w:r>
              <w:t xml:space="preserve"> </w:t>
            </w:r>
            <m:oMath>
              <m:r>
                <m:t>κ</m:t>
              </m:r>
            </m:oMath>
          </w:p>
        </w:tc>
        <w:tc>
          <w:tcPr>
            <w:vAlign w:val="center"/>
          </w:tcPr>
          <w:p>
            <w:pPr>
              <w:pStyle w:val="MDPI42tablebody"/>
              <w:jc w:val="center"/>
            </w:pPr>
            <w:r>
              <w:t xml:space="preserve">8.21 / 24.52 / 53.43</w:t>
            </w:r>
          </w:p>
        </w:tc>
        <w:tc>
          <w:tcPr>
            <w:vAlign w:val="center"/>
          </w:tcPr>
          <w:p>
            <w:pPr>
              <w:pStyle w:val="MDPI42tablebody"/>
              <w:jc w:val="center"/>
            </w:pPr>
            <w:r>
              <w:t xml:space="preserve">as above</w:t>
            </w:r>
          </w:p>
        </w:tc>
      </w:tr>
      <w:tr>
        <w:trPr>
          <w:cantSplit/>
        </w:trPr>
        <w:tc>
          <w:tcPr>
            <w:vAlign w:val="center"/>
          </w:tcPr>
          <w:p>
            <w:pPr>
              <w:pStyle w:val="MDPI42tablebody"/>
              <w:jc w:val="center"/>
            </w:pPr>
            <w:r>
              <w:t xml:space="preserve">Non-zero terms</w:t>
            </w:r>
          </w:p>
        </w:tc>
        <w:tc>
          <w:tcPr>
            <w:vAlign w:val="center"/>
          </w:tcPr>
          <w:p>
            <w:pPr>
              <w:pStyle w:val="MDPI42tablebody"/>
              <w:jc w:val="center"/>
            </w:pPr>
            <w:r>
              <w:t xml:space="preserve">20.1 / 28.2 / 37.0</w:t>
            </w:r>
          </w:p>
        </w:tc>
        <w:tc>
          <w:tcPr>
            <w:vAlign w:val="center"/>
          </w:tcPr>
          <w:p>
            <w:pPr>
              <w:pStyle w:val="MDPI42tablebody"/>
              <w:jc w:val="center"/>
            </w:pPr>
            <w:r>
              <w:t xml:space="preserve">as above</w:t>
            </w:r>
          </w:p>
        </w:tc>
      </w:tr>
      <w:tr>
        <w:trPr>
          <w:cantSplit/>
        </w:trPr>
        <w:tc>
          <w:tcPr>
            <w:gridSpan w:val="3"/>
            <w:vAlign w:val="center"/>
          </w:tcPr>
          <w:p>
            <w:pPr>
              <w:pStyle w:val="MDPI42tablebody"/>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rPr>
          <w:cantSplit/>
        </w:trPr>
        <w:tc>
          <w:tcPr>
            <w:gridSpan w:val="3"/>
            <w:vAlign w:val="center"/>
          </w:tcPr>
          <w:p>
            <w:pPr>
              <w:pStyle w:val="MDPI42tablebody"/>
              <w:jc w:val="left"/>
            </w:pPr>
            <w:r>
              <w:t xml:space="preserve">library, zero truncated runs). Only the feature library differs between these three controllers.</w:t>
            </w:r>
          </w:p>
        </w:tc>
      </w:tr>
      <w:tr>
        <w:trPr>
          <w:cantSplit/>
        </w:trPr>
        <w:tc>
          <w:tcPr>
            <w:vAlign w:val="center"/>
          </w:tcPr>
          <w:p>
            <w:pPr>
              <w:pStyle w:val="MDPI42tablebody"/>
              <w:jc w:val="center"/>
            </w:pPr>
            <w:r>
              <w:t xml:space="preserve">Closed-loop EPI (EUR m</w:t>
            </w:r>
            <m:oMath>
              <m:sSup>
                <m:e>
                  <m:r>
                    <m:t>​</m:t>
                  </m:r>
                </m:e>
                <m:sup>
                  <m:r>
                    <m:rPr>
                      <m:sty m:val="p"/>
                    </m:rPr>
                    <m:t>−</m:t>
                  </m:r>
                  <m:r>
                    <m:t>2</m:t>
                  </m:r>
                </m:sup>
              </m:sSup>
            </m:oMath>
            <w:r>
              <w:t xml:space="preserve">)</w:t>
            </w:r>
          </w:p>
        </w:tc>
        <w:tc>
          <w:tcPr>
            <w:vAlign w:val="center"/>
          </w:tcPr>
          <w:p>
            <w:pPr>
              <w:pStyle w:val="MDPI42tablebody"/>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center"/>
          </w:tcPr>
          <w:p>
            <w:pPr>
              <w:pStyle w:val="MDPI42tablebody"/>
              <w:jc w:val="left"/>
            </w:pPr>
            <w:r>
              <w:rPr>
                <w:rStyle w:val="VerbatimChar"/>
              </w:rPr>
              <w:t xml:space="preserve">priced_main/*.csv</w:t>
            </w:r>
            <w:r>
              <w:t xml:space="preserve">,</w:t>
            </w:r>
            <w:r>
              <w:t xml:space="preserve"> </w:t>
            </w:r>
            <w:r>
              <w:rPr>
                <w:rStyle w:val="VerbatimChar"/>
              </w:rPr>
              <w:t xml:space="preserve">phys_lib/ main_physlib.csv</w:t>
            </w:r>
          </w:p>
        </w:tc>
      </w:tr>
      <w:tr>
        <w:trPr>
          <w:cantSplit/>
        </w:trPr>
        <w:tc>
          <w:tcPr>
            <w:vAlign w:val="center"/>
          </w:tcPr>
          <w:p>
            <w:pPr>
              <w:pStyle w:val="MDPI42tablebody"/>
              <w:jc w:val="center"/>
            </w:pPr>
            <w:r>
              <w:t xml:space="preserve">Boiler-term survival</w:t>
            </w:r>
            <m:oMath>
              <m:sSup>
                <m:e>
                  <m:r>
                    <m:t>​</m:t>
                  </m:r>
                </m:e>
                <m:sup>
                  <m:r>
                    <m:t>b</m:t>
                  </m:r>
                </m:sup>
              </m:sSup>
            </m:oMath>
          </w:p>
        </w:tc>
        <w:tc>
          <w:tcPr>
            <w:vAlign w:val="center"/>
          </w:tcPr>
          <w:p>
            <w:pPr>
              <w:pStyle w:val="MDPI42tablebody"/>
              <w:jc w:val="center"/>
            </w:pPr>
            <w:r>
              <w:t xml:space="preserve">0.55 / 0.15 / 0.55</w:t>
            </w:r>
          </w:p>
        </w:tc>
        <w:tc>
          <w:tcPr>
            <w:vAlign w:val="center"/>
          </w:tcPr>
          <w:p>
            <w:pPr>
              <w:pStyle w:val="MDPI42tablebody"/>
              <w:jc w:val="center"/>
            </w:pPr>
            <w:r>
              <w:t xml:space="preserve">as above</w:t>
            </w:r>
          </w:p>
        </w:tc>
      </w:tr>
      <w:tr>
        <w:trPr>
          <w:cantSplit/>
        </w:trPr>
        <w:tc>
          <w:tcPr>
            <w:vAlign w:val="center"/>
          </w:tcPr>
          <w:p>
            <w:pPr>
              <w:pStyle w:val="MDPI42tablebody"/>
              <w:jc w:val="left"/>
            </w:pPr>
            <w:r>
              <w:t xml:space="preserve">The same change under STLSQ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3.83</m:t>
              </m:r>
            </m:oMath>
            <w:r>
              <w:t xml:space="preserve"> </w:t>
            </w:r>
            <w:r>
              <w:t xml:space="preserve">/ — /</w:t>
            </w:r>
            <w:r>
              <w:t xml:space="preserve"> </w:t>
            </w:r>
            <m:oMath>
              <m:r>
                <m:rPr>
                  <m:sty m:val="p"/>
                </m:rPr>
                <m:t>+</m:t>
              </m:r>
              <m:r>
                <m:t>2.48</m:t>
              </m:r>
            </m:oMath>
          </w:p>
        </w:tc>
        <w:tc>
          <w:tcPr>
            <w:vAlign w:val="center"/>
          </w:tcPr>
          <w:p>
            <w:pPr>
              <w:pStyle w:val="MDPI42tablebody"/>
              <w:jc w:val="center"/>
            </w:pPr>
            <w:r>
              <w:t xml:space="preserve">as above</w:t>
            </w:r>
          </w:p>
        </w:tc>
      </w:tr>
      <w:tr>
        <w:trPr>
          <w:cantSplit/>
        </w:trPr>
        <w:tc>
          <w:tcPr>
            <w:gridSpan w:val="3"/>
            <w:vAlign w:val="center"/>
          </w:tcPr>
          <w:p>
            <w:pPr>
              <w:pStyle w:val="MDPI42tablebody"/>
              <w:jc w:val="left"/>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rPr>
          <w:cantSplit/>
        </w:trPr>
        <w:tc>
          <w:tcPr>
            <w:gridSpan w:val="3"/>
            <w:vAlign w:val="center"/>
          </w:tcPr>
          <w:p>
            <w:pPr>
              <w:pStyle w:val="MDPI42tablebody"/>
              <w:jc w:val="left"/>
            </w:pPr>
            <w:r>
              <w:t xml:space="preserve">stage cost; PPO, SAC, the heuristic and the full-model planner have no MPC stage cost and are</w:t>
            </w:r>
          </w:p>
        </w:tc>
      </w:tr>
      <w:tr>
        <w:trPr>
          <w:cantSplit/>
        </w:trPr>
        <w:tc>
          <w:tcPr>
            <w:gridSpan w:val="3"/>
            <w:vAlign w:val="center"/>
          </w:tcPr>
          <w:p>
            <w:pPr>
              <w:pStyle w:val="MDPI42tablebody"/>
              <w:jc w:val="center"/>
            </w:pPr>
            <w:r>
              <w:t xml:space="preserve">quoted from the canonical wave.</w:t>
            </w:r>
          </w:p>
        </w:tc>
      </w:tr>
      <w:tr>
        <w:trPr>
          <w:cantSplit/>
        </w:trPr>
        <w:tc>
          <w:tcPr>
            <w:vAlign w:val="center"/>
          </w:tcPr>
          <w:p>
            <w:pPr>
              <w:pStyle w:val="MDPI42tablebody"/>
              <w:jc w:val="left"/>
            </w:pPr>
            <w:r>
              <w:t xml:space="preserve">Raw-library ensemble MPC (EUR m</w:t>
            </w:r>
            <m:oMath>
              <m:sSup>
                <m:e>
                  <m:r>
                    <m:t>​</m:t>
                  </m:r>
                </m:e>
                <m:sup>
                  <m:r>
                    <m:rPr>
                      <m:sty m:val="p"/>
                    </m:rPr>
                    <m:t>−</m:t>
                  </m:r>
                  <m:r>
                    <m:t>2</m:t>
                  </m:r>
                </m:sup>
              </m:sSup>
            </m:oMath>
            <w:r>
              <w:t xml:space="preserve">; violation steps)</w:t>
            </w:r>
          </w:p>
        </w:tc>
        <w:tc>
          <w:tcPr>
            <w:vAlign w:val="center"/>
          </w:tcPr>
          <w:p>
            <w:pPr>
              <w:pStyle w:val="MDPI42tablebody"/>
              <w:jc w:val="left"/>
            </w:pPr>
            <m:oMath>
              <m:r>
                <m:rPr>
                  <m:sty m:val="p"/>
                </m:rPr>
                <m:t>+</m:t>
              </m:r>
              <m:r>
                <m:t>4.32</m:t>
              </m:r>
              <m:r>
                <m:rPr>
                  <m:sty m:val="p"/>
                </m:rPr>
                <m:t>±</m:t>
              </m:r>
              <m:r>
                <m:t>4.08</m:t>
              </m:r>
            </m:oMath>
            <w:r>
              <w:t xml:space="preserve">; 4130</w:t>
            </w:r>
          </w:p>
        </w:tc>
        <w:tc>
          <w:tcPr>
            <w:vAlign w:val="center"/>
          </w:tcPr>
          <w:p>
            <w:pPr>
              <w:pStyle w:val="MDPI42tablebody"/>
              <w:jc w:val="center"/>
            </w:pPr>
            <w:r>
              <w:rPr>
                <w:rStyle w:val="VerbatimChar"/>
              </w:rPr>
              <w:t xml:space="preserve">priced_main/*.csv</w:t>
            </w:r>
          </w:p>
        </w:tc>
      </w:tr>
      <w:tr>
        <w:trPr>
          <w:cantSplit/>
        </w:trPr>
        <w:tc>
          <w:tcPr>
            <w:vAlign w:val="center"/>
          </w:tcPr>
          <w:p>
            <w:pPr>
              <w:pStyle w:val="MDPI42tablebody"/>
              <w:jc w:val="left"/>
            </w:pPr>
            <w:r>
              <w:t xml:space="preserve">Best physics-informed MPC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3.09</m:t>
              </m:r>
              <m:r>
                <m:rPr>
                  <m:sty m:val="p"/>
                </m:rPr>
                <m:t>±</m:t>
              </m:r>
              <m:r>
                <m:t>2.71</m:t>
              </m:r>
            </m:oMath>
            <w:r>
              <w:t xml:space="preserve">​</w:t>
            </w:r>
          </w:p>
        </w:tc>
        <w:tc>
          <w:tcPr>
            <w:vAlign w:val="center"/>
          </w:tcPr>
          <w:p>
            <w:pPr>
              <w:pStyle w:val="MDPI42tablebody"/>
              <w:jc w:val="center"/>
            </w:pPr>
            <w:r>
              <w:rPr>
                <w:rStyle w:val="VerbatimChar"/>
              </w:rPr>
              <w:t xml:space="preserve">priced_main/*.csv</w:t>
            </w:r>
          </w:p>
        </w:tc>
      </w:tr>
      <w:tr>
        <w:trPr>
          <w:cantSplit/>
        </w:trPr>
        <w:tc>
          <w:tcPr>
            <w:vAlign w:val="center"/>
          </w:tcPr>
          <w:p>
            <w:pPr>
              <w:pStyle w:val="MDPI42tablebody"/>
              <w:jc w:val="left"/>
            </w:pPr>
            <w:r>
              <w:t xml:space="preserve">Raw ensemble vs. that variant</w:t>
            </w:r>
          </w:p>
        </w:tc>
        <w:tc>
          <w:tcPr>
            <w:vAlign w:val="center"/>
          </w:tcPr>
          <w:p>
            <w:pPr>
              <w:pStyle w:val="MDPI42tablebody"/>
              <w:jc w:val="center"/>
            </w:pPr>
            <m:oMath>
              <m:sSub>
                <m:e>
                  <m:r>
                    <m:t>p</m:t>
                  </m:r>
                </m:e>
                <m:sub>
                  <m:r>
                    <m:rPr>
                      <m:sty m:val="p"/>
                    </m:rPr>
                    <m:t>Holm</m:t>
                  </m:r>
                </m:sub>
              </m:sSub>
              <m:r>
                <m:rPr>
                  <m:sty m:val="p"/>
                </m:rPr>
                <m:t>=</m:t>
              </m:r>
              <m:r>
                <m:t>4.6</m:t>
              </m:r>
              <m:r>
                <m:rPr>
                  <m:sty m:val="p"/>
                </m:rPr>
                <m:t>×</m:t>
              </m:r>
              <m:sSup>
                <m:e>
                  <m:r>
                    <m:t>10</m:t>
                  </m:r>
                </m:e>
                <m:sup>
                  <m:r>
                    <m:rPr>
                      <m:sty m:val="p"/>
                    </m:rPr>
                    <m:t>−</m:t>
                  </m:r>
                  <m:r>
                    <m:t>4</m:t>
                  </m:r>
                </m:sup>
              </m:sSup>
            </m:oMath>
            <w:r>
              <w:t xml:space="preserve">​</w:t>
            </w:r>
          </w:p>
        </w:tc>
        <w:tc>
          <w:tcPr>
            <w:vAlign w:val="center"/>
          </w:tcPr>
          <w:p>
            <w:pPr>
              <w:pStyle w:val="MDPI42tablebody"/>
              <w:jc w:val="center"/>
            </w:pPr>
            <w:r>
              <w:t xml:space="preserve">recomputed over the family of 15</w:t>
            </w:r>
          </w:p>
        </w:tc>
      </w:tr>
      <w:tr>
        <w:trPr>
          <w:cantSplit/>
        </w:trPr>
        <w:tc>
          <w:tcPr>
            <w:vAlign w:val="center"/>
          </w:tcPr>
          <w:p>
            <w:pPr>
              <w:pStyle w:val="MDPI42tablebody"/>
              <w:jc w:val="center"/>
            </w:pPr>
            <w:r>
              <w:t xml:space="preserve">Tuned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center"/>
          </w:tcPr>
          <w:p>
            <w:pPr>
              <w:pStyle w:val="MDPI42tablebody"/>
              <w:jc w:val="center"/>
            </w:pPr>
            <w:r>
              <w:rPr>
                <w:rStyle w:val="VerbatimChar"/>
              </w:rPr>
              <w:t xml:space="preserve">n2_tune/tune_rb_n2.csv</w:t>
            </w:r>
          </w:p>
        </w:tc>
      </w:tr>
      <w:tr>
        <w:trPr>
          <w:cantSplit/>
        </w:trPr>
        <w:tc>
          <w:tcPr>
            <w:vAlign w:val="center"/>
          </w:tcPr>
          <w:p>
            <w:pPr>
              <w:pStyle w:val="MDPI42tablebody"/>
              <w:jc w:val="center"/>
            </w:pPr>
            <w:r>
              <w:t xml:space="preserve">Stock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center"/>
          </w:tcPr>
          <w:p>
            <w:pPr>
              <w:pStyle w:val="MDPI42tablebody"/>
              <w:jc w:val="center"/>
            </w:pPr>
            <w:r>
              <w:rPr>
                <w:rStyle w:val="VerbatimChar"/>
              </w:rPr>
              <w:t xml:space="preserve">n2_tune/tune_rb_n2.csv</w:t>
            </w:r>
          </w:p>
        </w:tc>
      </w:tr>
      <w:tr>
        <w:trPr>
          <w:cantSplit/>
        </w:trPr>
        <w:tc>
          <w:tcPr>
            <w:vAlign w:val="center"/>
          </w:tcPr>
          <w:p>
            <w:pPr>
              <w:pStyle w:val="MDPI42tablebody"/>
              <w:jc w:val="left"/>
            </w:pPr>
            <w:r>
              <w:t xml:space="preserve">PPO (EUR m</w:t>
            </w:r>
            <m:oMath>
              <m:sSup>
                <m:e>
                  <m:r>
                    <m:t>​</m:t>
                  </m:r>
                </m:e>
                <m:sup>
                  <m:r>
                    <m:rPr>
                      <m:sty m:val="p"/>
                    </m:rPr>
                    <m:t>−</m:t>
                  </m:r>
                  <m:r>
                    <m:t>2</m:t>
                  </m:r>
                </m:sup>
              </m:sSup>
            </m:oMath>
            <w:r>
              <w:t xml:space="preserve">; violation steps)</w:t>
            </w:r>
          </w:p>
        </w:tc>
        <w:tc>
          <w:tcPr>
            <w:vAlign w:val="center"/>
          </w:tcPr>
          <w:p>
            <w:pPr>
              <w:pStyle w:val="MDPI42tablebody"/>
              <w:jc w:val="left"/>
            </w:pPr>
            <m:oMath>
              <m:r>
                <m:rPr>
                  <m:sty m:val="p"/>
                </m:rPr>
                <m:t>+</m:t>
              </m:r>
              <m:r>
                <m:t>0.45</m:t>
              </m:r>
              <m:r>
                <m:rPr>
                  <m:sty m:val="p"/>
                </m:rPr>
                <m:t>±</m:t>
              </m:r>
              <m:r>
                <m:t>2.97</m:t>
              </m:r>
            </m:oMath>
            <w:r>
              <w:t xml:space="preserve">; 1330</w:t>
            </w:r>
          </w:p>
        </w:tc>
        <w:tc>
          <w:tcPr>
            <w:vAlign w:val="center"/>
          </w:tcPr>
          <w:p>
            <w:pPr>
              <w:pStyle w:val="MDPI42tablebody"/>
              <w:jc w:val="center"/>
            </w:pPr>
            <w:r>
              <w:rPr>
                <w:rStyle w:val="VerbatimChar"/>
              </w:rPr>
              <w:t xml:space="preserve">final/main.csv</w:t>
            </w:r>
          </w:p>
        </w:tc>
      </w:tr>
      <w:tr>
        <w:trPr>
          <w:cantSplit/>
        </w:trPr>
        <w:tc>
          <w:tcPr>
            <w:gridSpan w:val="3"/>
            <w:vAlign w:val="center"/>
          </w:tcPr>
          <w:p>
            <w:pPr>
              <w:pStyle w:val="MDPI42tablebody"/>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rPr>
          <w:cantSplit/>
        </w:trPr>
        <w:tc>
          <w:tcPr>
            <w:vAlign w:val="center"/>
          </w:tcPr>
          <w:p>
            <w:pPr>
              <w:pStyle w:val="MDPI42tablebody"/>
              <w:jc w:val="left"/>
            </w:pPr>
            <w:r>
              <w:t xml:space="preserve">Raw-library ensemble MPC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6.42</m:t>
              </m:r>
              <m:r>
                <m:rPr>
                  <m:sty m:val="p"/>
                </m:rPr>
                <m:t>±</m:t>
              </m:r>
              <m:r>
                <m:t>0.95</m:t>
              </m:r>
            </m:oMath>
            <w:r>
              <w:t xml:space="preserve">​</w:t>
            </w:r>
          </w:p>
        </w:tc>
        <w:tc>
          <w:tcPr>
            <w:vAlign w:val="center"/>
          </w:tcPr>
          <w:p>
            <w:pPr>
              <w:pStyle w:val="MDPI42tablebody"/>
              <w:jc w:val="center"/>
            </w:pPr>
            <w:r>
              <w:rPr>
                <w:rStyle w:val="VerbatimChar"/>
              </w:rPr>
              <w:t xml:space="preserve">n5_years/main_n5.csv</w:t>
            </w:r>
          </w:p>
        </w:tc>
      </w:tr>
      <w:tr>
        <w:trPr>
          <w:cantSplit/>
        </w:trPr>
        <w:tc>
          <w:tcPr>
            <w:vAlign w:val="center"/>
          </w:tcPr>
          <w:p>
            <w:pPr>
              <w:pStyle w:val="MDPI42tablebody"/>
              <w:jc w:val="center"/>
            </w:pPr>
            <w:r>
              <w:t xml:space="preserve">Untuned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0.33</m:t>
              </m:r>
            </m:oMath>
            <w:r>
              <w:t xml:space="preserve">​</w:t>
            </w:r>
          </w:p>
        </w:tc>
        <w:tc>
          <w:tcPr>
            <w:vAlign w:val="center"/>
          </w:tcPr>
          <w:p>
            <w:pPr>
              <w:pStyle w:val="MDPI42tablebody"/>
              <w:jc w:val="center"/>
            </w:pPr>
            <w:r>
              <w:rPr>
                <w:rStyle w:val="VerbatimChar"/>
              </w:rPr>
              <w:t xml:space="preserve">n5_years/main_n5.csv</w:t>
            </w:r>
          </w:p>
        </w:tc>
      </w:tr>
      <w:tr>
        <w:trPr>
          <w:cantSplit/>
        </w:trPr>
        <w:tc>
          <w:tcPr>
            <w:gridSpan w:val="3"/>
            <w:vAlign w:val="center"/>
          </w:tcPr>
          <w:p>
            <w:pPr>
              <w:pStyle w:val="MDPI42tablebody"/>
              <w:jc w:val="left"/>
            </w:pPr>
            <w:r>
              <w:rPr>
                <w:i/>
                <w:iCs/>
              </w:rPr>
              <w:t xml:space="preserve">Corrections, mechanism and robustness</w:t>
            </w:r>
          </w:p>
        </w:tc>
      </w:tr>
      <w:tr>
        <w:trPr>
          <w:cantSplit/>
        </w:trPr>
        <w:tc>
          <w:tcPr>
            <w:vAlign w:val="center"/>
          </w:tcPr>
          <w:p>
            <w:pPr>
              <w:pStyle w:val="MDPI42tablebody"/>
              <w:jc w:val="left"/>
            </w:pPr>
            <w:r>
              <w:t xml:space="preserve">Gain from tuning the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3.49</m:t>
              </m:r>
            </m:oMath>
            <w:r>
              <w:t xml:space="preserve">​</w:t>
            </w:r>
          </w:p>
        </w:tc>
        <w:tc>
          <w:tcPr>
            <w:vAlign w:val="center"/>
          </w:tcPr>
          <w:p>
            <w:pPr>
              <w:pStyle w:val="MDPI42tablebody"/>
              <w:jc w:val="center"/>
            </w:pPr>
            <w:r>
              <w:rPr>
                <w:rStyle w:val="VerbatimChar"/>
              </w:rPr>
              <w:t xml:space="preserve">n2_tune/tune_rb_n2.csv</w:t>
            </w:r>
          </w:p>
        </w:tc>
      </w:tr>
      <w:tr>
        <w:trPr>
          <w:cantSplit/>
        </w:trPr>
        <w:tc>
          <w:tcPr>
            <w:vAlign w:val="center"/>
          </w:tcPr>
          <w:p>
            <w:pPr>
              <w:pStyle w:val="MDPI42tablebody"/>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3.66</m:t>
              </m:r>
              <m:r>
                <m:rPr>
                  <m:sty m:val="p"/>
                </m:rPr>
                <m:t>→</m:t>
              </m:r>
              <m:r>
                <m:rPr>
                  <m:sty m:val="p"/>
                </m:rPr>
                <m:t>+</m:t>
              </m:r>
              <m:r>
                <m:t>1.23</m:t>
              </m:r>
            </m:oMath>
            <w:r>
              <w:t xml:space="preserve">​</w:t>
            </w:r>
          </w:p>
        </w:tc>
        <w:tc>
          <w:tcPr>
            <w:vAlign w:val="center"/>
          </w:tcPr>
          <w:p>
            <w:pPr>
              <w:pStyle w:val="MDPI42tablebody"/>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rPr>
          <w:cantSplit/>
        </w:trPr>
        <w:tc>
          <w:tcPr>
            <w:vAlign w:val="center"/>
          </w:tcPr>
          <w:p>
            <w:pPr>
              <w:pStyle w:val="MDPI42tablebody"/>
              <w:jc w:val="left"/>
            </w:pPr>
            <w:r>
              <w:t xml:space="preserve">Boiler-coefficient knock-in, priced: median / mean</w:t>
            </w:r>
          </w:p>
        </w:tc>
        <w:tc>
          <w:tcPr>
            <w:vAlign w:val="center"/>
          </w:tcPr>
          <w:p>
            <w:pPr>
              <w:pStyle w:val="MDPI42tablebody"/>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center"/>
          </w:tcPr>
          <w:p>
            <w:pPr>
              <w:pStyle w:val="MDPI42tablebody"/>
              <w:jc w:val="left"/>
            </w:pPr>
            <w:r>
              <w:rPr>
                <w:rStyle w:val="VerbatimChar"/>
              </w:rPr>
              <w:t xml:space="preserve">priced_mech/ mechanism_pricedMech*.csv</w:t>
            </w:r>
          </w:p>
        </w:tc>
      </w:tr>
      <w:tr>
        <w:trPr>
          <w:cantSplit/>
        </w:trPr>
        <w:tc>
          <w:tcPr>
            <w:vAlign w:val="center"/>
          </w:tcPr>
          <w:p>
            <w:pPr>
              <w:pStyle w:val="MDPI42tablebody"/>
              <w:jc w:val="left"/>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vAlign w:val="center"/>
          </w:tcPr>
          <w:p>
            <w:pPr>
              <w:pStyle w:val="MDPI42tablebody"/>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center"/>
          </w:tcPr>
          <w:p>
            <w:pPr>
              <w:pStyle w:val="MDPI42tablebody"/>
              <w:jc w:val="left"/>
            </w:pPr>
            <w:r>
              <w:rPr>
                <w:rStyle w:val="VerbatimChar"/>
              </w:rPr>
              <w:t xml:space="preserve">design_priced_real/ design_designPriced.csv</w:t>
            </w:r>
          </w:p>
        </w:tc>
      </w:tr>
    </w:tbl>
    <w:bookmarkEnd w:id="88"/>
    <w:p>
      <w:pPr>
        <w:pStyle w:val="MDPI31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bookmarkStart w:id="92" w:name="fig:graphical-abstract"/>
    <w:p>
      <w:pPr>
        <w:pStyle w:val="MDPI52figure"/>
        <w:jc w:val="center"/>
        <w:keepNext/>
      </w:pPr>
      <w:r>
        <w:drawing>
          <wp:inline>
            <wp:extent cx="6237459" cy="2303555"/>
            <wp:effectExtent b="0" l="0" r="0" t="0"/>
            <wp:docPr descr="" title="" id="90" name="Picture"/>
            <a:graphic>
              <a:graphicData uri="http://schemas.openxmlformats.org/drawingml/2006/picture">
                <pic:pic>
                  <pic:nvPicPr>
                    <pic:cNvPr descr="figures/fig-graphical-abstract.png" id="91" name="Picture"/>
                    <pic:cNvPicPr>
                      <a:picLocks noChangeArrowheads="1" noChangeAspect="1"/>
                    </pic:cNvPicPr>
                  </pic:nvPicPr>
                  <pic:blipFill>
                    <a:blip r:embed="rId89"/>
                    <a:stretch>
                      <a:fillRect/>
                    </a:stretch>
                  </pic:blipFill>
                  <pic:spPr bwMode="auto">
                    <a:xfrm>
                      <a:off x="0" y="0"/>
                      <a:ext cx="6237459" cy="2303555"/>
                    </a:xfrm>
                    <a:prstGeom prst="rect">
                      <a:avLst/>
                    </a:prstGeom>
                    <a:noFill/>
                    <a:ln w="9525">
                      <a:noFill/>
                      <a:headEnd/>
                      <a:tailEnd/>
                    </a:ln>
                  </pic:spPr>
                </pic:pic>
              </a:graphicData>
            </a:graphic>
          </wp:inline>
        </w:drawing>
      </w:r>
    </w:p>
    <w:p>
      <w:pPr>
        <w:pStyle w:val="MDPI51figurecaption"/>
        <w:keepLines/>
      </w:pPr>
      <w:r>
        <w:rPr>
          <w:b/>
        </w:rPr>
        <w:t xml:space="preserve">Figure 6. </w:t>
      </w:r>
      <w:r>
        <w:rPr>
          <w:i/>
        </w:rPr>
        <w:t xml:space="preserve">Graphical abstract. </w:t>
      </w:r>
      <w:r>
        <w:t>(</w:t>
      </w:r>
      <w:r>
        <w:rPr>
          <w:b/>
          <w:bCs/>
        </w:rPr>
        <w:t xml:space="preserve">a</w:t>
      </w:r>
      <w:r>
        <w:t xml:space="preserve">) The selection reversal in the</w:t>
      </w:r>
      <w:r>
        <w:t xml:space="preserve"> </w:t>
      </w:r>
      <w:r>
        <w:t xml:space="preserve">first-order, undenoised block under sparse estimators: candidate libraries</w:t>
      </w:r>
      <w:r>
        <w:t xml:space="preserve"> </w:t>
      </w:r>
      <w:r>
        <w:t xml:space="preserve">ordered by one-step prediction error are ordered inversely by 24 h rollout error</w:t>
      </w:r>
      <w:r>
        <w:t xml:space="preserve"> </w:t>
      </w:r>
      <w:r>
        <w:t xml:space="preserve">and by divergence rate. (</w:t>
      </w:r>
      <w:r>
        <w:rPr>
          <w:b/>
          <w:bCs/>
        </w:rPr>
        <w:t xml:space="preserve">b</w:t>
      </w:r>
      <w:r>
        <w:t xml:space="preserve">) Changing only the feature library, the</w:t>
      </w:r>
      <w:r>
        <w:t xml:space="preserve"> </w:t>
      </w:r>
      <w:r>
        <w:t xml:space="preserve">condition number and the open-loop rollout error rise monotonically across the</w:t>
      </w:r>
      <w:r>
        <w:t xml:space="preserve"> </w:t>
      </w:r>
      <w:r>
        <w:t xml:space="preserve">nested libraries while closed-loop margin does not — the worst-conditioned</w:t>
      </w:r>
      <w:r>
        <w:t xml:space="preserve"> </w:t>
      </w:r>
      <w:r>
        <w:t xml:space="preserve">library outperforms the intermediate one, and the 17-feature probe that deletes</w:t>
      </w:r>
      <w:r>
        <w:t xml:space="preserve"> </w:t>
      </w:r>
      <w:r>
        <w:t xml:space="preserve">the single bilinear boiler term stays at the full library’s level, rejecting the</w:t>
      </w:r>
      <w:r>
        <w:t xml:space="preserve"> </w:t>
      </w:r>
      <w:r>
        <w:t xml:space="preserve">bypass explanation — and the margin instead follows the</w:t>
      </w:r>
      <w:r>
        <w:t xml:space="preserve"> </w:t>
      </w:r>
      <w:r>
        <w:t xml:space="preserve">fraction of fits in which the direct boiler coefficient survives thresholding.</w:t>
      </w:r>
      <w:r>
        <w:t xml:space="preserve"> </w:t>
      </w:r>
      <w:r>
        <w:t xml:space="preserve">(</w:t>
      </w:r>
      <w:r>
        <w:rPr>
          <w:b/>
          <w:bCs/>
        </w:rPr>
        <w:t xml:space="preserve">c</w:t>
      </w:r>
      <w:r>
        <w:t xml:space="preserve">) The two-axis outcome over four test seasons under the priced</w:t>
      </w:r>
      <w:r>
        <w:t xml:space="preserve"> </w:t>
      </w:r>
      <w:r>
        <w:t xml:space="preserve">objective: the front holds five of the fifteen controllers, so the economic</w:t>
      </w:r>
      <w:r>
        <w:t xml:space="preserve"> </w:t>
      </w:r>
      <w:r>
        <w:t xml:space="preserve">advantage of the raw library is not Pareto-dominant. Sources are named in the</w:t>
      </w:r>
      <w:r>
        <w:t xml:space="preserve"> </w:t>
      </w:r>
      <w:r>
        <w:t xml:space="preserve">LaTeX comment preceding this caption.</w:t>
      </w:r>
    </w:p>
    <w:bookmarkEnd w:id="92"/>
    <w:p>
      <w:pPr>
        <w:pStyle w:val="MDPI62backmatter"/>
      </w:pPr>
      <w:r>
        <w:rPr>
          <w:b/>
        </w:rPr>
        <w:t xml:space="preserve">Supplementary Materials: </w:t>
      </w:r>
      <w:r>
        <w:t>Not applicable.</w:t>
      </w:r>
    </w:p>
    <w:p>
      <w:pPr>
        <w:pStyle w:val="MDPI62backmatter"/>
      </w:pPr>
      <w:r>
        <w:rPr>
          <w:b/>
          <w:bCs/>
        </w:rPr>
        <w:t xml:space="preserve">Author Contributions:</w:t>
      </w:r>
      <w:r>
        <w:t xml:space="preserve"> </w:t>
      </w:r>
      <w:r>
        <w:t xml:space="preserve">[[REQUIRED — NOT SUPPLIED.]]</w:t>
      </w:r>
      <w:r>
        <w:t xml:space="preserve"> </w:t>
      </w:r>
      <w:r>
        <w:t xml:space="preserve">State each author’s contribution</w:t>
      </w:r>
      <w:r>
        <w:t xml:space="preserve"> </w:t>
      </w:r>
      <w:r>
        <w:t xml:space="preserve">by initials using the CRediT taxonomy, e.g. </w:t>
      </w:r>
      <w:r>
        <w:t xml:space="preserve">“Conceptualization, X.X. and Y.Y.;</w:t>
      </w:r>
      <w:r>
        <w:t xml:space="preserve"> </w:t>
      </w:r>
      <w:r>
        <w:t xml:space="preserve">methodology, X.X.; software, X.X.; validation, X.X., Y.Y. and Z.Z.; formal</w:t>
      </w:r>
      <w:r>
        <w:t xml:space="preserve"> </w:t>
      </w:r>
      <w:r>
        <w:t xml:space="preserve">analysis, X.X.; investigation, X.X.; resources, X.X.; data curation, X.X.;</w:t>
      </w:r>
      <w:r>
        <w:t xml:space="preserve"> </w:t>
      </w:r>
      <w:r>
        <w:t xml:space="preserve">writing—original draft preparation, X.X.; writing—review and editing, X.X.;</w:t>
      </w:r>
      <w:r>
        <w:t xml:space="preserve"> </w:t>
      </w:r>
      <w:r>
        <w:t xml:space="preserve">visualization, X.X.; supervision, X.X.; project administration, X.X.; funding</w:t>
      </w:r>
      <w:r>
        <w:t xml:space="preserve"> </w:t>
      </w:r>
      <w:r>
        <w:t xml:space="preserve">acquisition, Y.Y. All authors have read and agreed to the published version of</w:t>
      </w:r>
      <w:r>
        <w:t xml:space="preserve"> </w:t>
      </w:r>
      <w:r>
        <w:t xml:space="preserve">the manuscript.”</w:t>
      </w:r>
      <w:r>
        <w:t xml:space="preserve"> </w:t>
      </w:r>
      <w:r>
        <w:t xml:space="preserve">Initials must match the author block above, and every listed</w:t>
      </w:r>
      <w:r>
        <w:t xml:space="preserve"> </w:t>
      </w:r>
      <w:r>
        <w:t xml:space="preserve">author must appear in at least one role.</w:t>
      </w:r>
    </w:p>
    <w:p>
      <w:pPr>
        <w:pStyle w:val="MDPI62backmatter"/>
      </w:pPr>
      <w:r>
        <w:rPr>
          <w:b/>
          <w:bCs/>
        </w:rPr>
        <w:t xml:space="preserve">Funding:</w:t>
      </w:r>
      <w:r>
        <w:t xml:space="preserve"> </w:t>
      </w:r>
      <w:r>
        <w:t xml:space="preserve">[[REQUIRED — NOT SUPPLIED.]]</w:t>
      </w:r>
      <w:r>
        <w:t xml:space="preserve"> </w:t>
      </w:r>
      <w:r>
        <w:t xml:space="preserve">Either name every funder with the</w:t>
      </w:r>
      <w:r>
        <w:t xml:space="preserve"> </w:t>
      </w:r>
      <w:r>
        <w:t xml:space="preserve">grant number in MDPI’s form (</w:t>
      </w:r>
      <w:r>
        <w:t xml:space="preserve">“This research was funded by NAME OF FUNDER, grant</w:t>
      </w:r>
      <w:r>
        <w:t xml:space="preserve"> </w:t>
      </w:r>
      <w:r>
        <w:t xml:space="preserve">number XXX”</w:t>
      </w:r>
      <w:r>
        <w:t xml:space="preserve">) or state exactly</w:t>
      </w:r>
      <w:r>
        <w:t xml:space="preserve"> </w:t>
      </w:r>
      <w:r>
        <w:t xml:space="preserve">“This research received no external funding”</w:t>
      </w:r>
      <w:r>
        <w:t xml:space="preserve">.</w:t>
      </w:r>
      <w:r>
        <w:t xml:space="preserve"> </w:t>
      </w:r>
      <w:r>
        <w:t xml:space="preserve">Do not leave this blank: MDPI will not send the manuscript out for review</w:t>
      </w:r>
      <w:r>
        <w:t xml:space="preserve"> </w:t>
      </w:r>
      <w:r>
        <w:t xml:space="preserve">without it.</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[1,13]</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[33–34].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rPr>
        <w:t xml:space="preserve">Acknowledgments: </w:t>
      </w:r>
      <w:r>
        <w:t>[[ACKNOWLEDGMENTS REQUIRED; OTHERWISE STATE ‘Not applicable.’]]</w:t>
      </w:r>
    </w:p>
    <w:p>
      <w:pPr>
        <w:pStyle w:val="MDPI62backmatter"/>
      </w:pPr>
      <w:r>
        <w:rPr>
          <w:b/>
          <w:bCs/>
        </w:rPr>
        <w:t xml:space="preserve">Conflicts of Interest:</w:t>
      </w:r>
      <w:r>
        <w:t xml:space="preserve"> </w:t>
      </w:r>
      <w:r>
        <w:t xml:space="preserve">[[REQUIRED — NOT SUPPLIED.]]</w:t>
      </w:r>
      <w:r>
        <w:t xml:space="preserve"> </w:t>
      </w:r>
      <w:r>
        <w:t xml:space="preserve">Every author must declare. Use</w:t>
      </w:r>
      <w:r>
        <w:t xml:space="preserve"> </w:t>
      </w:r>
      <w:r>
        <w:t xml:space="preserve">“The authors declare no conflicts of interest.”</w:t>
      </w:r>
      <w:r>
        <w:t xml:space="preserve"> </w:t>
      </w:r>
      <w:r>
        <w:t xml:space="preserve">only if that is true of all of</w:t>
      </w:r>
      <w:r>
        <w:t xml:space="preserve"> </w:t>
      </w:r>
      <w:r>
        <w:t xml:space="preserve">them; otherwise describe the interest and state the funders’ role, or lack of</w:t>
      </w:r>
      <w:r>
        <w:t xml:space="preserve"> </w:t>
      </w:r>
      <w:r>
        <w:t xml:space="preserve">role, in the design of the study, in the collection, analyses or interpretation</w:t>
      </w:r>
      <w:r>
        <w:t xml:space="preserve"> </w:t>
      </w:r>
      <w:r>
        <w:t xml:space="preserve">of data, in the writing of the manuscript, and in the decision to publish the</w:t>
      </w:r>
      <w:r>
        <w:t xml:space="preserve"> </w:t>
      </w:r>
      <w:r>
        <w:t xml:space="preserve">results.</w:t>
      </w:r>
    </w:p>
    <w:bookmarkEnd w:id="93"/>
    <w:bookmarkStart w:id="123" w:name="references"/>
    <w:p>
      <w:pPr>
        <w:pStyle w:val="MDPI21heading1"/>
        <w:keepNext/>
      </w:pPr>
      <w:r>
        <w:t xml:space="preserve">References</w:t>
      </w:r>
    </w:p>
    <w:p>
      <w:pPr>
        <w:pStyle w:val="MDPI81references"/>
      </w:pPr>
      <w:r>
        <w:t>Katzin, D.; van Mourik, S.; Kempkes, F.; van Henten, E.J. GreenLight—An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4">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5">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6">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7">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8">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9">
        <w:r>
          <w:rPr>
            <w:rStyle w:val="Hyperlink"/>
          </w:rPr>
          <w:t xml:space="preserve">https://doi.org/10.1016/j.apenergy.2021.117163</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0">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1">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2">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3">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4">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5">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6">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7">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8">
        <w:r>
          <w:rPr>
            <w:rStyle w:val="Hyperlink"/>
          </w:rPr>
          <w:t xml:space="preserve">https://doi.org/10.1007/978-1-4612-0313-1_5</w:t>
        </w:r>
      </w:hyperlink>
    </w:p>
    <w:p>
      <w:pPr>
        <w:pStyle w:val="MDPI81references"/>
      </w:pPr>
      <w:r>
        <w:t>Van den Hof, P.M.J.; Schrama, R.J.P. Identification and control—Closed-loop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09">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0">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1">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2">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3">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4">
        <w:r>
          <w:rPr>
            <w:rStyle w:val="Hyperlink"/>
          </w:rPr>
          <w:t xml:space="preserve">https://doi.org/10.1002/qj.3803</w:t>
        </w:r>
      </w:hyperlink>
    </w:p>
    <w:p>
      <w:pPr>
        <w:pStyle w:val="MDPI81references"/>
      </w:pPr>
      <w:r>
        <w:t>Zippenfenig, P. Open-Meteo.com Weather API, 2023; Zenodo.</w:t>
      </w:r>
      <w:r>
        <w:t xml:space="preserve"> </w:t>
      </w:r>
      <w:hyperlink r:id="rId115">
        <w:r>
          <w:rPr>
            <w:rStyle w:val="Hyperlink"/>
          </w:rPr>
          <w:t xml:space="preserve">https://doi.org/10.5281/zenodo.7970649</w:t>
        </w:r>
      </w:hyperlink>
      <w:r>
        <w:t xml:space="preserve">. Historical archive endpoint available online:</w:t>
      </w:r>
      <w:r>
        <w:t xml:space="preserve"> </w:t>
      </w:r>
      <w:hyperlink r:id="rId116">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7">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8">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19">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0">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1">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2">
        <w:r>
          <w:rPr>
            <w:rStyle w:val="Hyperlink"/>
          </w:rPr>
          <w:t xml:space="preserve">https://doi.org/10.1002/0471725153</w:t>
        </w:r>
      </w:hyperlink>
    </w:p>
    <w:bookmarkEnd w:id="123"/>
    <w:sectPr w:rsidR="003D23AA" w:rsidRPr="00BC79F9" w:rsidSect="00A421BD">
      <w:headerReference r:id="rId12" w:type="even"/>
      <w:headerReference r:id="rId13" w:type="default"/>
      <w:headerReference r:id="rId15" w:type="first"/>
      <w:footerReference r:id="rId14" w:type="defaul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Correspondence:</w:t>
      </w:r>
      <w:r>
        <w:t xml:space="preserve"> </w:t>
      </w:r>
      <w:r>
        <w:rPr>
          <w:rStyle w:val="VerbatimChar"/>
        </w:rPr>
        <w:t xml:space="preserve">[[CORRESPONDING AUTHOR E-MAIL REQUIRED]]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9" Target="media/rId89.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82" Target="media/rId82.png" /><Relationship Type="http://schemas.openxmlformats.org/officeDocument/2006/relationships/hyperlink" Id="rId116" Target="https://archive-api.open-meteo.com/v1/archive" TargetMode="External" /><Relationship Type="http://schemas.openxmlformats.org/officeDocument/2006/relationships/hyperlink" Id="rId122" Target="https://doi.org/10.1002/0471725153" TargetMode="External" /><Relationship Type="http://schemas.openxmlformats.org/officeDocument/2006/relationships/hyperlink" Id="rId114" Target="https://doi.org/10.1002/qj.3803" TargetMode="External" /><Relationship Type="http://schemas.openxmlformats.org/officeDocument/2006/relationships/hyperlink" Id="rId108" Target="https://doi.org/10.1007/978-1-4612-0313-1_5" TargetMode="External" /><Relationship Type="http://schemas.openxmlformats.org/officeDocument/2006/relationships/hyperlink" Id="rId117" Target="https://doi.org/10.1007/s10107-004-0559-y" TargetMode="External" /><Relationship Type="http://schemas.openxmlformats.org/officeDocument/2006/relationships/hyperlink" Id="rId109" Target="https://doi.org/10.1016/0005-1098(95)00094-X" TargetMode="External" /><Relationship Type="http://schemas.openxmlformats.org/officeDocument/2006/relationships/hyperlink" Id="rId97" Target="https://doi.org/10.1016/S0005-1098(99)00214-9" TargetMode="External" /><Relationship Type="http://schemas.openxmlformats.org/officeDocument/2006/relationships/hyperlink" Id="rId95" Target="https://doi.org/10.1016/j.apenergy.2020.116019" TargetMode="External" /><Relationship Type="http://schemas.openxmlformats.org/officeDocument/2006/relationships/hyperlink" Id="rId99" Target="https://doi.org/10.1016/j.apenergy.2021.117163" TargetMode="External" /><Relationship Type="http://schemas.openxmlformats.org/officeDocument/2006/relationships/hyperlink" Id="rId105" Target="https://doi.org/10.1016/j.atech.2024.100751" TargetMode="External" /><Relationship Type="http://schemas.openxmlformats.org/officeDocument/2006/relationships/hyperlink" Id="rId121" Target="https://doi.org/10.1016/j.automatica.2004.11.021" TargetMode="External" /><Relationship Type="http://schemas.openxmlformats.org/officeDocument/2006/relationships/hyperlink" Id="rId94" Target="https://doi.org/10.1016/j.biosystemseng.2020.03.010" TargetMode="External" /><Relationship Type="http://schemas.openxmlformats.org/officeDocument/2006/relationships/hyperlink" Id="rId112" Target="https://doi.org/10.1016/j.cma.2020.113620" TargetMode="External" /><Relationship Type="http://schemas.openxmlformats.org/officeDocument/2006/relationships/hyperlink" Id="rId104" Target="https://doi.org/10.1016/j.compag.2023.108372" TargetMode="External" /><Relationship Type="http://schemas.openxmlformats.org/officeDocument/2006/relationships/hyperlink" Id="rId118" Target="https://doi.org/10.1016/j.conengprac.2023.105676" TargetMode="External" /><Relationship Type="http://schemas.openxmlformats.org/officeDocument/2006/relationships/hyperlink" Id="rId101" Target="https://doi.org/10.1016/j.ifacol.2016.10.249" TargetMode="External" /><Relationship Type="http://schemas.openxmlformats.org/officeDocument/2006/relationships/hyperlink" Id="rId106" Target="https://doi.org/10.1016/j.ifacol.2025.11.827" TargetMode="External" /><Relationship Type="http://schemas.openxmlformats.org/officeDocument/2006/relationships/hyperlink" Id="rId110" Target="https://doi.org/10.1016/j.jcp.2018.10.045" TargetMode="External" /><Relationship Type="http://schemas.openxmlformats.org/officeDocument/2006/relationships/hyperlink" Id="rId111" Target="https://doi.org/10.1038/s42254-021-00314-5" TargetMode="External" /><Relationship Type="http://schemas.openxmlformats.org/officeDocument/2006/relationships/hyperlink" Id="rId100" Target="https://doi.org/10.1073/pnas.1517384113" TargetMode="External" /><Relationship Type="http://schemas.openxmlformats.org/officeDocument/2006/relationships/hyperlink" Id="rId102" Target="https://doi.org/10.1098/rspa.2018.0335" TargetMode="External" /><Relationship Type="http://schemas.openxmlformats.org/officeDocument/2006/relationships/hyperlink" Id="rId103" Target="https://doi.org/10.1098/rspa.2021.0904" TargetMode="External" /><Relationship Type="http://schemas.openxmlformats.org/officeDocument/2006/relationships/hyperlink" Id="rId98" Target="https://doi.org/10.1109/CDC.2012.6425822" TargetMode="External" /><Relationship Type="http://schemas.openxmlformats.org/officeDocument/2006/relationships/hyperlink" Id="rId107" Target="https://doi.org/10.1109/TCYB.2026.3652850" TargetMode="External" /><Relationship Type="http://schemas.openxmlformats.org/officeDocument/2006/relationships/hyperlink" Id="rId119" Target="https://doi.org/10.1201/9780429246593" TargetMode="External" /><Relationship Type="http://schemas.openxmlformats.org/officeDocument/2006/relationships/hyperlink" Id="rId120" Target="https://doi.org/10.1609/aaai.v32i1.11694" TargetMode="External" /><Relationship Type="http://schemas.openxmlformats.org/officeDocument/2006/relationships/hyperlink" Id="rId96" Target="https://doi.org/10.18174/205106" TargetMode="External" /><Relationship Type="http://schemas.openxmlformats.org/officeDocument/2006/relationships/hyperlink" Id="rId113" Target="https://doi.org/10.2307/3001968" TargetMode="External" /><Relationship Type="http://schemas.openxmlformats.org/officeDocument/2006/relationships/hyperlink" Id="rId115" Target="https://doi.org/10.5281/zenodo.7970649" TargetMode="External" /></Relationships>
</file>

<file path=word/_rels/footnotes.xml.rels><?xml version="1.0" encoding="UTF-8"?><Relationships xmlns="http://schemas.openxmlformats.org/package/2006/relationships"><Relationship Type="http://schemas.openxmlformats.org/officeDocument/2006/relationships/hyperlink" Id="rId116" Target="https://archive-api.open-meteo.com/v1/archive" TargetMode="External" /><Relationship Type="http://schemas.openxmlformats.org/officeDocument/2006/relationships/hyperlink" Id="rId122" Target="https://doi.org/10.1002/0471725153" TargetMode="External" /><Relationship Type="http://schemas.openxmlformats.org/officeDocument/2006/relationships/hyperlink" Id="rId114" Target="https://doi.org/10.1002/qj.3803" TargetMode="External" /><Relationship Type="http://schemas.openxmlformats.org/officeDocument/2006/relationships/hyperlink" Id="rId108" Target="https://doi.org/10.1007/978-1-4612-0313-1_5" TargetMode="External" /><Relationship Type="http://schemas.openxmlformats.org/officeDocument/2006/relationships/hyperlink" Id="rId117" Target="https://doi.org/10.1007/s10107-004-0559-y" TargetMode="External" /><Relationship Type="http://schemas.openxmlformats.org/officeDocument/2006/relationships/hyperlink" Id="rId109" Target="https://doi.org/10.1016/0005-1098(95)00094-X" TargetMode="External" /><Relationship Type="http://schemas.openxmlformats.org/officeDocument/2006/relationships/hyperlink" Id="rId97" Target="https://doi.org/10.1016/S0005-1098(99)00214-9" TargetMode="External" /><Relationship Type="http://schemas.openxmlformats.org/officeDocument/2006/relationships/hyperlink" Id="rId95" Target="https://doi.org/10.1016/j.apenergy.2020.116019" TargetMode="External" /><Relationship Type="http://schemas.openxmlformats.org/officeDocument/2006/relationships/hyperlink" Id="rId99" Target="https://doi.org/10.1016/j.apenergy.2021.117163" TargetMode="External" /><Relationship Type="http://schemas.openxmlformats.org/officeDocument/2006/relationships/hyperlink" Id="rId105" Target="https://doi.org/10.1016/j.atech.2024.100751" TargetMode="External" /><Relationship Type="http://schemas.openxmlformats.org/officeDocument/2006/relationships/hyperlink" Id="rId121" Target="https://doi.org/10.1016/j.automatica.2004.11.021" TargetMode="External" /><Relationship Type="http://schemas.openxmlformats.org/officeDocument/2006/relationships/hyperlink" Id="rId94" Target="https://doi.org/10.1016/j.biosystemseng.2020.03.010" TargetMode="External" /><Relationship Type="http://schemas.openxmlformats.org/officeDocument/2006/relationships/hyperlink" Id="rId112" Target="https://doi.org/10.1016/j.cma.2020.113620" TargetMode="External" /><Relationship Type="http://schemas.openxmlformats.org/officeDocument/2006/relationships/hyperlink" Id="rId104" Target="https://doi.org/10.1016/j.compag.2023.108372" TargetMode="External" /><Relationship Type="http://schemas.openxmlformats.org/officeDocument/2006/relationships/hyperlink" Id="rId118" Target="https://doi.org/10.1016/j.conengprac.2023.105676" TargetMode="External" /><Relationship Type="http://schemas.openxmlformats.org/officeDocument/2006/relationships/hyperlink" Id="rId101" Target="https://doi.org/10.1016/j.ifacol.2016.10.249" TargetMode="External" /><Relationship Type="http://schemas.openxmlformats.org/officeDocument/2006/relationships/hyperlink" Id="rId106" Target="https://doi.org/10.1016/j.ifacol.2025.11.827" TargetMode="External" /><Relationship Type="http://schemas.openxmlformats.org/officeDocument/2006/relationships/hyperlink" Id="rId110" Target="https://doi.org/10.1016/j.jcp.2018.10.045" TargetMode="External" /><Relationship Type="http://schemas.openxmlformats.org/officeDocument/2006/relationships/hyperlink" Id="rId111" Target="https://doi.org/10.1038/s42254-021-00314-5" TargetMode="External" /><Relationship Type="http://schemas.openxmlformats.org/officeDocument/2006/relationships/hyperlink" Id="rId100" Target="https://doi.org/10.1073/pnas.1517384113" TargetMode="External" /><Relationship Type="http://schemas.openxmlformats.org/officeDocument/2006/relationships/hyperlink" Id="rId102" Target="https://doi.org/10.1098/rspa.2018.0335" TargetMode="External" /><Relationship Type="http://schemas.openxmlformats.org/officeDocument/2006/relationships/hyperlink" Id="rId103" Target="https://doi.org/10.1098/rspa.2021.0904" TargetMode="External" /><Relationship Type="http://schemas.openxmlformats.org/officeDocument/2006/relationships/hyperlink" Id="rId98" Target="https://doi.org/10.1109/CDC.2012.6425822" TargetMode="External" /><Relationship Type="http://schemas.openxmlformats.org/officeDocument/2006/relationships/hyperlink" Id="rId107" Target="https://doi.org/10.1109/TCYB.2026.3652850" TargetMode="External" /><Relationship Type="http://schemas.openxmlformats.org/officeDocument/2006/relationships/hyperlink" Id="rId119" Target="https://doi.org/10.1201/9780429246593" TargetMode="External" /><Relationship Type="http://schemas.openxmlformats.org/officeDocument/2006/relationships/hyperlink" Id="rId120" Target="https://doi.org/10.1609/aaai.v32i1.11694" TargetMode="External" /><Relationship Type="http://schemas.openxmlformats.org/officeDocument/2006/relationships/hyperlink" Id="rId96" Target="https://doi.org/10.18174/205106" TargetMode="External" /><Relationship Type="http://schemas.openxmlformats.org/officeDocument/2006/relationships/hyperlink" Id="rId113" Target="https://doi.org/10.2307/3001968" TargetMode="External" /><Relationship Type="http://schemas.openxmlformats.org/officeDocument/2006/relationships/hyperlink" Id="rId115" Target="https://doi.org/10.5281/zenodo.7970649"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actuator-term survival explains: physics-informed features have a non-monotone effect on sparse surrogate models for economic greenhouse climate control</dc:title>
  <dc:creator>[[AUTHOR 1 – FULL NAME REQUIRED]]^{1,}   [[ORCID REQUIRED]]; [[AUTHOR 2 – FULL NAME REQUIRED]]^{2}  [[ORCID REQUIRED]]; [[ADD OR DELETE AUTHORS AS REQUIRED]] ^{1}[[AFFILIATION 1 REQUIRED: DEPARTMENT, INSTITUTION, STREET, POSTCODE, CITY, COUNTRY; E-MAIL]] ^{2}[[AFFILIATION 2 REQUIRED, OR DELETE IF ALL AUTHORS SHARE AFFILIATION 1]]</dc:creator>
  <cp:keywords/>
  <dcterms:created xsi:type="dcterms:W3CDTF">2026-08-19T05:32:14Z</dcterms:created>
  <dcterms:modified xsi:type="dcterms:W3CDTF">2026-08-19T05:32:14Z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of greenhouse climate needs a process model, and sparse identification of nonlinear dynamics offers an interpretable surrogate; which open-loop criterion should select one is rarely tested. We screened 72 identification configurations on the GreenLight tomato model under ERA5 weather and compared fifteen controllers over four test seasons at up to 20 replicates, scored by seasonal margin. One-step accuracy and multi-step stability ranked the candidate libraries in opposite orders: physically motivated features lowered one-step RMSE from 1.86 to 1.68 °C while raising median 24 h rollout RMSE from 2.67 to 24.27 °C. Multi-step stability selected correctly—the raw library also gave the best economics, +4.32 EUR m^{-2} against +3.09 for the best physics-informed variant (Holm-corrected p=4.6\times10^{-4}, family of 15) and +2.26 for an agronomic heuristic re-tuned under the same 16-trial budget the reinforcement-learning agents received. Conditioning does not explain this: changing only the library, the condition number rose monotonically (8.2, 24.5, 53.4) but margin did not (+4.32, +0.28, +2.75). Margin followed survival of the boiler coefficient under thresholding (55, 15, 55 %); reinstating it is significant but small (median +0.21, 16 of 20, p=5.9\times10^{-4}). The advantage is not Pareto-dominant: five controllers hold the margin–violation front.</vt:lpwstr>
  </property>
  <property fmtid="{D5CDD505-2E9C-101B-9397-08002B2CF9AE}" pid="3" name="date">
    <vt:lpwstr/>
  </property>
</Properties>
</file>