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MDPI13authornames"/>
      </w:pPr>
      <w:r>
        <w:rPr>
          <w:b/>
        </w:rPr>
        <w:t>Ivan I. Naumov</w:t>
      </w:r>
      <w:r>
        <w:rPr>
          <w:vertAlign w:val="superscript"/>
        </w:rPr>
        <w:t>1,*</w:t>
      </w:r>
      <w:r>
        <w:rPr>
          <w:b w:val="0"/>
        </w:rPr>
        <w:t xml:space="preserve"> 0000-0002-8582-3203</w:t>
      </w:r>
      <w:r>
        <w:rPr>
          <w:b w:val="0"/>
        </w:rPr>
        <w:t xml:space="preserve">; </w:t>
      </w:r>
      <w:r>
        <w:rPr>
          <w:b/>
        </w:rPr>
        <w:t>Maksim V. Lyashov</w:t>
      </w:r>
      <w:r>
        <w:rPr>
          <w:vertAlign w:val="superscript"/>
        </w:rPr>
        <w:t>1</w:t>
      </w:r>
      <w:r>
        <w:rPr>
          <w:b w:val="0"/>
        </w:rPr>
        <w:t xml:space="preserve"> 0009-0004-9754-3390</w:t>
      </w:r>
      <w:r>
        <w:rPr>
          <w:b w:val="0"/>
        </w:rPr>
        <w:t xml:space="preserve">; </w:t>
      </w:r>
      <w:r>
        <w:rPr>
          <w:b/>
        </w:rPr>
        <w:t>Anton T. Chernyaev</w:t>
      </w:r>
      <w:r>
        <w:rPr>
          <w:vertAlign w:val="superscript"/>
        </w:rPr>
        <w:t>1</w:t>
      </w:r>
      <w:r>
        <w:rPr>
          <w:b w:val="0"/>
        </w:rPr>
        <w:t xml:space="preserve"> 0009-0001-6836-6522</w:t>
      </w:r>
      <w:r>
        <w:rPr>
          <w:b w:val="0"/>
        </w:rPr>
        <w:t xml:space="preserve">; </w:t>
      </w:r>
      <w:r>
        <w:rPr>
          <w:b/>
        </w:rPr>
        <w:t>Mariya S. Kilina</w:t>
      </w:r>
      <w:r>
        <w:rPr>
          <w:vertAlign w:val="superscript"/>
        </w:rPr>
        <w:t>2</w:t>
      </w:r>
      <w:r>
        <w:rPr>
          <w:b w:val="0"/>
        </w:rPr>
        <w:t xml:space="preserve">; </w:t>
      </w:r>
      <w:r>
        <w:rPr>
          <w:b/>
        </w:rPr>
        <w:t>Marina M. Zhdanova</w:t>
      </w:r>
      <w:r>
        <w:rPr>
          <w:vertAlign w:val="superscript"/>
        </w:rPr>
        <w:t>3</w:t>
      </w:r>
      <w:r>
        <w:rPr>
          <w:b w:val="0"/>
        </w:rPr>
        <w:t xml:space="preserve"> 0000-0003-1119-5221</w:t>
      </w:r>
      <w:r>
        <w:rPr>
          <w:b w:val="0"/>
        </w:rPr>
        <w:t xml:space="preserve">; </w:t>
      </w:r>
      <w:r>
        <w:rPr>
          <w:b/>
        </w:rPr>
        <w:t>Elena O. Chernyaeva</w:t>
      </w:r>
      <w:r>
        <w:rPr>
          <w:vertAlign w:val="superscript"/>
        </w:rPr>
        <w:t>1</w:t>
      </w:r>
      <w:r>
        <w:rPr>
          <w:b w:val="0"/>
        </w:rPr>
        <w:t xml:space="preserve"> 0009-0003-3829-3486</w:t>
      </w:r>
      <w:r>
        <w:rPr>
          <w:b w:val="0"/>
        </w:rPr>
        <w:t xml:space="preserve">; </w:t>
      </w:r>
      <w:r>
        <w:rPr>
          <w:b/>
        </w:rPr>
        <w:t>Marina S. Kharina</w:t>
      </w:r>
      <w:r>
        <w:rPr>
          <w:vertAlign w:val="superscript"/>
        </w:rPr>
        <w:t>1</w:t>
      </w:r>
      <w:r>
        <w:rPr>
          <w:b w:val="0"/>
        </w:rPr>
        <w:t xml:space="preserve">; </w:t>
      </w:r>
      <w:r>
        <w:rPr>
          <w:b/>
        </w:rPr>
        <w:t>Angelina E. Merzlikina</w:t>
      </w:r>
      <w:r>
        <w:rPr>
          <w:vertAlign w:val="superscript"/>
        </w:rPr>
        <w:t>1</w:t>
      </w:r>
      <w:r>
        <w:rPr>
          <w:b w:val="0"/>
        </w:rPr>
        <w:t xml:space="preserve"> 0009-0000-5051-346X</w:t>
      </w:r>
      <w:r>
        <w:rPr>
          <w:b w:val="0"/>
        </w:rPr>
        <w:t xml:space="preserve">; </w:t>
      </w:r>
      <w:r>
        <w:rPr>
          <w:b/>
        </w:rPr>
        <w:t>Mariya N. Kulinich</w:t>
      </w:r>
      <w:r>
        <w:rPr>
          <w:vertAlign w:val="superscript"/>
        </w:rPr>
        <w:t>4</w:t>
      </w:r>
    </w:p>
    <w:p>
      <w:pPr>
        <w:pStyle w:val="MDPI16affiliation"/>
      </w:pPr>
      <w:r>
        <w:rPr>
          <w:b/>
        </w:rPr>
        <w:t xml:space="preserve">1 </w:t>
      </w:r>
      <w:r>
        <w:t>World-Class Research Centre "Agroengineering of the Future", Don State Technical University, 1 Gagarin Square, 344003 Rostov-on-Don, Russia; inaumov@donstu.ru (I.I.N.); mlyashov@donstu.ru (M.V.L.); atchernyaev@donstu.ru (A.T.C.); echernyaeva@donstu.ru (E.O.C.); mharina@donstu.ru (M.S.Kh.); aelevchenko@donstu.ru (A.E.M.)</w:t>
      </w:r>
    </w:p>
    <w:p>
      <w:pPr>
        <w:pStyle w:val="MDPI16affiliation"/>
      </w:pPr>
      <w:r>
        <w:rPr>
          <w:b/>
        </w:rPr>
        <w:t xml:space="preserve">2 </w:t>
      </w:r>
      <w:r>
        <w:t>Department of Hydraulics, Hydropneumatic Automation and Thermal Processes, Don State Technical University, 1 Gagarin Square, 344003 Rostov-on-Don, Russia; Mkilina@donstu.ru (M.S.K.)</w:t>
      </w:r>
    </w:p>
    <w:p>
      <w:pPr>
        <w:pStyle w:val="MDPI16affiliation"/>
      </w:pPr>
      <w:r>
        <w:rPr>
          <w:b/>
        </w:rPr>
        <w:t xml:space="preserve">3 </w:t>
      </w:r>
      <w:r>
        <w:t>Department of Cybersecurity of Information Systems, Don State Technical University, 1 Gagarin Square, 344003 Rostov-on-Don, Russia; mpismenskova@donstu.ru (M.M.Z.)</w:t>
      </w:r>
    </w:p>
    <w:p>
      <w:pPr>
        <w:pStyle w:val="MDPI16affiliation"/>
      </w:pPr>
      <w:r>
        <w:rPr>
          <w:b/>
        </w:rPr>
        <w:t xml:space="preserve">4 </w:t>
      </w:r>
      <w:r>
        <w:t>Research Administration Office, Don State Technical University, 1 Gagarin Square, 344003 Rostov-on-Don, Russia; mkulinich@donstu.ru (M.N.K.)</w:t>
      </w:r>
    </w:p>
    <w:p>
      <w:pPr>
        <w:pStyle w:val="MDPI16affiliation"/>
      </w:pPr>
      <w:r>
        <w:rPr>
          <w:b/>
        </w:rPr>
        <w:t xml:space="preserve">* Correspondence: </w:t>
      </w:r>
      <w:r>
        <w:t>inaumov@donstu.ru</w:t>
      </w:r>
    </w:p>
    <w:p>
      <w:pPr>
        <w:pStyle w:val="MDPI17abstract"/>
      </w:pPr>
      <w:r>
        <w:rPr>
          <w:b/>
        </w:rPr>
        <w:t xml:space="preserve">Abstract: </w:t>
      </w: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15 controllers were</w:t>
      </w:r>
      <w:r>
        <w:t xml:space="preserve"> </w:t>
      </w:r>
      <w:r>
        <w:t xml:space="preserve">compared over four 60-day test seasons with up to 20 identification replicates.</w:t>
      </w:r>
      <w:r>
        <w:t xml:space="preserve"> </w:t>
      </w:r>
      <w:r>
        <w:t xml:space="preserve">Outcome measures were simulated seasonal margin and climate-corridor violations. One-step</w:t>
      </w:r>
      <w:r>
        <w:t xml:space="preserve"> </w:t>
      </w:r>
      <w:r>
        <w:t xml:space="preserve">accuracy and multi-step stability ranked the feature libraries oppositely:</w:t>
      </w:r>
      <w:r>
        <w:t xml:space="preserve"> </w:t>
      </w:r>
      <w:r>
        <w:t xml:space="preserve">physically motivated features reduced one-step temperature root-mean-square error</w:t>
      </w:r>
      <w:r>
        <w:t xml:space="preserve"> </w:t>
      </w:r>
      <w:r>
        <w:t xml:space="preserve">(RMSE)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MDPI18keywords"/>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p>
      <w:pPr>
        <w:pStyle w:val="MDPI19line"/>
        <w:jc w:val="left"/>
      </w:pPr>
    </w:p>
    <w:bookmarkStart w:id="26" w:name="sec:intro"/>
    <w:p>
      <w:pPr>
        <w:pStyle w:val="MDPI21heading1"/>
      </w:pPr>
      <w:r>
        <w:t xml:space="preserve">1. </w:t>
      </w:r>
      <w:r>
        <w:t xml:space="preserve">Introduction</w:t>
      </w:r>
    </w:p>
    <w:p>
      <w:pPr>
        <w:pStyle w:val="MDPI31text"/>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by optimising the inputs over a finite horizon subject to temperature, humidity</w:t>
      </w:r>
      <w:r>
        <w:t xml:space="preserve"> </w:t>
      </w:r>
      <w:r>
        <w:t xml:space="preserve">and CO</w:t>
      </w:r>
      <m:oMath>
        <m:sSub>
          <m:e>
            <m:r>
              <m:t>​</m:t>
            </m:r>
          </m:e>
          <m:sub>
            <m:r>
              <m:t>2</m:t>
            </m:r>
          </m:sub>
        </m:sSub>
      </m:oMath>
      <w:r>
        <w:t xml:space="preserve"> </w:t>
      </w:r>
      <w:r>
        <w:t xml:space="preserve">constraints [3–6].</w:t>
      </w:r>
    </w:p>
    <w:p>
      <w:pPr>
        <w:pStyle w:val="MDPI31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im-Đuri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and do not demonstrate commercial greenhouse performance.</w:t>
      </w:r>
    </w:p>
    <w:p>
      <w:pPr>
        <w:pStyle w:val="MDPI31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MDPI31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MDPI31text"/>
      </w:pPr>
      <w:r>
        <w:t xml:space="preserve">Identification-for-control research warns against the third assumption, because a model</w:t>
      </w:r>
      <w:r>
        <w:t xml:space="preserve"> </w:t>
      </w:r>
      <w:r>
        <w:t xml:space="preserve">should be judged by the closed-loop behaviour it produces in addition to its open-loop fit</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MDPI31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MDPI41tablecaption"/>
      </w:pPr>
      <w:r>
        <w:rPr>
          <w:b/>
        </w:rPr>
        <w:t xml:space="preserve">Table 1. </w:t>
      </w: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MDPI41threelinetable"/>
        <w:tblW w:type="pct" w:w="5000"/>
        <w:tblLayout w:type="fixed"/>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1800"/>
        <w:gridCol w:w="2699"/>
        <w:gridCol w:w="3419"/>
      </w:tblGrid>
      <w:tr>
        <w:trPr>
          <w:tblHeader w:val="on"/>
        </w:trPr>
        <w:tc>
          <w:tcPr>
            <w:vAlign w:val="top"/>
          </w:tcPr>
          <w:p>
            <w:pPr>
              <w:pStyle w:val="MDPI42tablebody"/>
              <w:suppressAutoHyphens/>
              <w:jc w:val="left"/>
            </w:pPr>
            <w:r>
              <w:rPr>
                <w:b/>
                <w:bCs/>
              </w:rPr>
              <w:t xml:space="preserve">Benchmarking risk</w:t>
            </w:r>
          </w:p>
        </w:tc>
        <w:tc>
          <w:tcPr>
            <w:vAlign w:val="top"/>
          </w:tcPr>
          <w:p>
            <w:pPr>
              <w:pStyle w:val="MDPI42tablebody"/>
              <w:suppressAutoHyphens/>
              <w:jc w:val="left"/>
            </w:pPr>
            <w:r>
              <w:rPr>
                <w:b/>
                <w:bCs/>
              </w:rPr>
              <w:t xml:space="preserve">Safeguard used here</w:t>
            </w:r>
          </w:p>
        </w:tc>
        <w:tc>
          <w:tcPr>
            <w:vAlign w:val="top"/>
          </w:tcPr>
          <w:p>
            <w:pPr>
              <w:pStyle w:val="MDPI42tablebody"/>
              <w:suppressAutoHyphens/>
              <w:jc w:val="left"/>
            </w:pPr>
            <w:r>
              <w:rPr>
                <w:b/>
                <w:bCs/>
              </w:rPr>
              <w:t xml:space="preserve">Observed sensitivity</w:t>
            </w:r>
          </w:p>
        </w:tc>
      </w:tr>
      <w:tr>
        <w:tc>
          <w:tcPr>
            <w:vAlign w:val="top"/>
          </w:tcPr>
          <w:p>
            <w:pPr>
              <w:pStyle w:val="MDPI42tablebody"/>
              <w:suppressAutoHyphens/>
              <w:spacing w:after="40"/>
              <w:jc w:val="left"/>
            </w:pPr>
            <w:r>
              <w:t xml:space="preserve">Unsearched reference: learned controllers compared with a hard-coded heuristic</w:t>
            </w:r>
          </w:p>
        </w:tc>
        <w:tc>
          <w:tcPr>
            <w:vAlign w:val="top"/>
          </w:tcPr>
          <w:p>
            <w:pPr>
              <w:pStyle w:val="MDPI42tablebody"/>
              <w:suppressAutoHyphens/>
              <w:spacing w:after="40"/>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vAlign w:val="top"/>
          </w:tcPr>
          <w:p>
            <w:pPr>
              <w:pStyle w:val="MDPI42tablebody"/>
              <w:suppressAutoHyphens/>
              <w:spacing w:after="40"/>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obtains the gain at the cost of higher constraint pressure (2813 to 4339 violation steps)</w:t>
            </w:r>
            <w:r>
              <w:t xml:space="preserve"> </w:t>
            </w:r>
            <w:r>
              <w:t xml:space="preserve">and is itself off the Pareto front</w:t>
            </w:r>
          </w:p>
        </w:tc>
      </w:tr>
      <w:tr>
        <w:tc>
          <w:tcPr>
            <w:vAlign w:val="top"/>
          </w:tcPr>
          <w:p>
            <w:pPr>
              <w:pStyle w:val="MDPI42tablebody"/>
              <w:suppressAutoHyphens/>
              <w:spacing w:after="40"/>
              <w:jc w:val="left"/>
            </w:pPr>
            <w:r>
              <w:t xml:space="preserve">Objective mismatch: tracking error reported instead of margin, or MPC actuator weights</w:t>
            </w:r>
            <w:r>
              <w:t xml:space="preserve"> </w:t>
            </w:r>
            <w:r>
              <w:t xml:space="preserve">that are inconsistent with the prices used for evaluation</w:t>
            </w:r>
          </w:p>
        </w:tc>
        <w:tc>
          <w:tcPr>
            <w:vAlign w:val="top"/>
          </w:tcPr>
          <w:p>
            <w:pPr>
              <w:pStyle w:val="MDPI42tablebody"/>
              <w:suppressAutoHyphens/>
              <w:spacing w:after="40"/>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vAlign w:val="top"/>
          </w:tcPr>
          <w:p>
            <w:pPr>
              <w:pStyle w:val="MDPI42tablebody"/>
              <w:suppressAutoHyphens/>
              <w:spacing w:after="40"/>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vAlign w:val="top"/>
          </w:tcPr>
          <w:p>
            <w:pPr>
              <w:pStyle w:val="MDPI42tablebody"/>
              <w:suppressAutoHyphens/>
              <w:spacing w:after="40"/>
              <w:jc w:val="left"/>
            </w:pPr>
            <w:r>
              <w:t xml:space="preserve">Open-loop selection: identification configuration chosen by one-step prediction accuracy</w:t>
            </w:r>
          </w:p>
        </w:tc>
        <w:tc>
          <w:tcPr>
            <w:vAlign w:val="top"/>
          </w:tcPr>
          <w:p>
            <w:pPr>
              <w:pStyle w:val="MDPI42tablebody"/>
              <w:suppressAutoHyphens/>
              <w:spacing w:after="40"/>
              <w:jc w:val="left"/>
            </w:pPr>
            <w:r>
              <w:t xml:space="preserve">Candidates are scored by multi-step rollout stability and regression conditioning, fixed</w:t>
            </w:r>
            <w:r>
              <w:t xml:space="preserve"> </w:t>
            </w:r>
            <w:r>
              <w:t xml:space="preserve">before and independently of any closed-loop evaluation</w:t>
            </w:r>
          </w:p>
        </w:tc>
        <w:tc>
          <w:tcPr>
            <w:vAlign w:val="top"/>
          </w:tcPr>
          <w:p>
            <w:pPr>
              <w:pStyle w:val="MDPI42tablebody"/>
              <w:suppressAutoHyphens/>
              <w:spacing w:after="40"/>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MDPI31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15 controllers were evaluated over four held-out test seasons: nine</w:t>
      </w:r>
      <w:r>
        <w:t xml:space="preserve"> </w:t>
      </w:r>
      <w:r>
        <w:t xml:space="preserve">SINDy-MPC variants, a neural-network MPC, two deep reinforcement-learning agents</w:t>
      </w:r>
      <w:r>
        <w:t xml:space="preserve"> </w:t>
      </w:r>
      <w:r>
        <w:t xml:space="preserve">[30–32], a full-simulator-model MPC and the</w:t>
      </w:r>
      <w:r>
        <w:t xml:space="preserve"> </w:t>
      </w:r>
      <w:r>
        <w:t xml:space="preserve">rule-based heuristic in both its stock and tuned configurations.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a one-sample signed-rank test against a constant and is therefore</w:t>
      </w:r>
      <w:r>
        <w:t xml:space="preserve"> </w:t>
      </w:r>
      <w:r>
        <w:t xml:space="preserve">not a paired test. The study makes four contributions.</w:t>
      </w:r>
    </w:p>
    <w:p>
      <w:pPr>
        <w:pStyle w:val="MDPI31text"/>
      </w:pPr>
      <w:r>
        <w:t xml:space="preserve">(i) One-step accuracy and multi-step stability rank candidate libraries in</w:t>
      </w:r>
      <w:r>
        <w:t xml:space="preserve"> </w:t>
      </w:r>
      <w:r>
        <w:t xml:space="preserve">opposite orders, and the closed-loop winner is the library that multi-step stability</w:t>
      </w:r>
      <w:r>
        <w:t xml:space="preserve"> </w:t>
      </w:r>
      <w:r>
        <w:t xml:space="preserve">selects; neither criterion reproduces the full closed-loop ordering</w:t>
      </w:r>
      <w:r>
        <w:t xml:space="preserve"> </w:t>
      </w:r>
      <w:r>
        <w:t xml:space="preserve">(Section </w:t>
      </w:r>
      <w:hyperlink w:anchor="sec:disc-rule">
        <w:r>
          <w:rPr>
            <w:rStyle w:val="Hyperlink"/>
          </w:rPr>
          <w:t xml:space="preserve">4.2</w:t>
        </w:r>
      </w:hyperlink>
      <w:r>
        <w:t xml:space="preserve">). The</w:t>
      </w:r>
      <w:r>
        <w:t xml:space="preserve"> </w:t>
      </w:r>
      <w:r>
        <w:t xml:space="preserve">identification ladder evaluated 72 labelled configurations, covering 54 distinct fits –</w:t>
      </w:r>
      <w:r>
        <w:t xml:space="preserve"> </w:t>
      </w:r>
      <w:r>
        <w:t xml:space="preserve">two of the optimiser labels turn out to be bit-identical. Within its degree-1 block (the degree-2 candidates are all non-embeddable in the MPC solver),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the controller built on a raw, physics-free library, also the sparsest of</w:t>
      </w:r>
      <w:r>
        <w:t xml:space="preserve"> </w:t>
      </w:r>
      <w:r>
        <w:t xml:space="preserve">the three, attains the best four-season mean margin of the 15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MDPI31text"/>
      </w:pPr>
      <w:r>
        <w:t xml:space="preserve">(ii) The effect of physically motivated features is non-monotone. 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exceeds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MDPI31text"/>
      </w:pPr>
      <w:r>
        <w:t xml:space="preserve">(iii) Benchmarking safeguards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are also significantly better than the tuned heuristic at run</w:t>
      </w:r>
      <w:r>
        <w:t xml:space="preserve"> </w:t>
      </w:r>
      <w:r>
        <w:t xml:space="preserve">level,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on per-seed means, the unit at</w:t>
      </w:r>
      <w:r>
        <w:t xml:space="preserve"> </w:t>
      </w:r>
      <w:r>
        <w:t xml:space="preserve">which the identified surrogates are independent, only the two raw-library controllers</w:t>
      </w:r>
      <w:r>
        <w:t xml:space="preserve"> </w:t>
      </w:r>
      <w:r>
        <w:t xml:space="preserve">remain separable from it (Section </w:t>
      </w:r>
      <w:hyperlink w:anchor="sec:res-main">
        <w:r>
          <w:rPr>
            <w:rStyle w:val="Hyperlink"/>
          </w:rPr>
          <w:t xml:space="preserve">3.3</w:t>
        </w:r>
      </w:hyperlink>
      <w:r>
        <w:t xml:space="preserve">). The two full-</w:t>
      </w:r>
      <w:r>
        <w:rPr>
          <w:rStyle w:val="VerbatimChar"/>
        </w:rPr>
        <w:t xml:space="preserve">physics</w:t>
      </w:r>
      <w:r>
        <w:t xml:space="preserve"> </w:t>
      </w:r>
      <w:r>
        <w:t xml:space="preserve">controllers are ahead of it in point estimate, although they are not statistically</w:t>
      </w:r>
      <w:r>
        <w:t xml:space="preserve"> </w:t>
      </w:r>
      <w:r>
        <w:t xml:space="preserve">separable from it. Against the unsearched reference the same advantage would read</w:t>
      </w:r>
      <w:r>
        <w:t xml:space="preserve"> </w:t>
      </w:r>
      <m:oMath>
        <m:r>
          <m:rPr>
            <m:sty m:val="p"/>
          </m:rPr>
          <m:t>+</m:t>
        </m:r>
        <m:r>
          <m:t>5.54</m:t>
        </m:r>
      </m:oMath>
      <w:r>
        <w:t xml:space="preserve">, so the size of the main comparison depends on how the baseline is tuned.</w:t>
      </w:r>
      <w:r>
        <w:t xml:space="preserve"> </w:t>
      </w:r>
      <w:r>
        <w:t xml:space="preserve">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MDPI31text"/>
      </w:pPr>
      <w:r>
        <w:t xml:space="preserve">(iv) The closed-loop outcome tracks survival of the actuator pathway through the</w:t>
      </w:r>
      <w:r>
        <w:t xml:space="preserve"> </w:t>
      </w:r>
      <w:r>
        <w:t xml:space="preserve">sparsity threshold. 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regardless of its one-step accuracy or of the conditioning of the fit</w:t>
      </w:r>
      <w:r>
        <w:t xml:space="preserve"> </w:t>
      </w:r>
      <w:r>
        <w:t xml:space="preserve">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(significant, typically small and heavily right-skewed), while the</w:t>
      </w:r>
      <w:r>
        <w:t xml:space="preserve"> </w:t>
      </w:r>
      <w:r>
        <w:t xml:space="preserve">complementary knock-out is null. Survival of the term is a precondition for the outcome</w:t>
      </w:r>
      <w:r>
        <w:t xml:space="preserve"> </w:t>
      </w:r>
      <w:r>
        <w:t xml:space="preserve">but does not order the libraries.</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and raw-library runs that lost the term still average</w:t>
      </w:r>
      <w:r>
        <w:t xml:space="preserve"> </w:t>
      </w:r>
      <m:oMath>
        <m:r>
          <m:rPr>
            <m:sty m:val="p"/>
          </m:rPr>
          <m:t>+</m:t>
        </m:r>
        <m:r>
          <m:t>3.48</m:t>
        </m:r>
      </m:oMath>
      <w:r>
        <w:t xml:space="preserve">,</w:t>
      </w:r>
      <w:r>
        <w:t xml:space="preserve"> </w:t>
      </w:r>
      <w:r>
        <w:t xml:space="preserve">above physics-library runs that kept it (</w:t>
      </w:r>
      <m:oMath>
        <m:r>
          <m:rPr>
            <m:sty m:val="p"/>
          </m:rPr>
          <m:t>+</m:t>
        </m:r>
        <m:r>
          <m:t>2.52</m:t>
        </m:r>
      </m:oMath>
      <w:r>
        <w:t xml:space="preserve">). One candidate explanation of why the</w:t>
      </w:r>
      <w:r>
        <w:t xml:space="preserve"> </w:t>
      </w:r>
      <w:r>
        <w:t xml:space="preserve">middle library is the worst is a bilinear detour, in which the full library retains its</w:t>
      </w:r>
      <w:r>
        <w:t xml:space="preserve"> </w:t>
      </w:r>
      <w:r>
        <w:t xml:space="preserve">heating pathway through the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once the direct</w:t>
      </w:r>
      <w:r>
        <w:t xml:space="preserve"> </w:t>
      </w:r>
      <w:r>
        <w:t xml:space="preserve">boiler term is cut and the middle library, lacking that term, does not. This explanation</w:t>
      </w:r>
      <w:r>
        <w:t xml:space="preserve"> </w:t>
      </w:r>
      <w:r>
        <w:t xml:space="preserve">was tested by deleting exactly that one feature from the full library and was rejected,</w:t>
      </w:r>
      <w:r>
        <w:t xml:space="preserve"> </w:t>
      </w:r>
      <w:r>
        <w:t xml:space="preserve">because conditioning (</w:t>
      </w:r>
      <m:oMath>
        <m:r>
          <m:t>κ</m:t>
        </m:r>
        <m:r>
          <m:rPr>
            <m:sty m:val="p"/>
          </m:rPr>
          <m:t>=</m:t>
        </m:r>
        <m:r>
          <m:t>52.3</m:t>
        </m:r>
      </m:oMath>
      <w:r>
        <w:t xml:space="preserve">), open-loop instability and closed-loop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w:t>
      </w:r>
      <w:r>
        <w:t xml:space="preserve"> </w:t>
      </w:r>
      <w:r>
        <w:t xml:space="preserve">remain at the full library’s level, with survival at</w:t>
      </w:r>
      <w:r>
        <w:t xml:space="preserve"> </w:t>
      </w:r>
      <m:oMath>
        <m:r>
          <m:t>40</m:t>
        </m:r>
        <m:r>
          <m:t> </m:t>
        </m:r>
        <m:r>
          <m:rPr>
            <m:sty m:val="p"/>
          </m:rPr>
          <m:t>%</m:t>
        </m:r>
      </m:oMath>
      <w:r>
        <w:t xml:space="preserve">, far from the collapse a</w:t>
      </w:r>
      <w:r>
        <w:t xml:space="preserve"> </w:t>
      </w:r>
      <w:r>
        <w:t xml:space="preserve">bilinear detour predicts (Sections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The ablation therefore establishes that the outcome depends</w:t>
      </w:r>
      <w:r>
        <w:t xml:space="preserve"> </w:t>
      </w:r>
      <w:r>
        <w:t xml:space="preserve">on survival of the term, although the reason why one library loses the term remains</w:t>
      </w:r>
      <w:r>
        <w:t xml:space="preserve"> </w:t>
      </w:r>
      <w:r>
        <w:t xml:space="preserve">unresolved.</w:t>
      </w:r>
    </w:p>
    <w:p>
      <w:pPr>
        <w:pStyle w:val="MDPI31text"/>
      </w:pPr>
      <w:r>
        <w:t xml:space="preserve">The results are limited in several respects. The advantage is not Pareto-dominant,</w:t>
      </w:r>
      <w:r>
        <w:t xml:space="preserve"> </w:t>
      </w:r>
      <w:r>
        <w:t xml:space="preserve">because the front holds five points and the proximal policy optimisation (PPO) agent</w:t>
      </w:r>
      <w:r>
        <w:t xml:space="preserve"> </w:t>
      </w:r>
      <w:r>
        <w:t xml:space="preserve">attains far fewer constraint violations (</w:t>
      </w:r>
      <m:oMath>
        <m:r>
          <m:t>1330</m:t>
        </m:r>
      </m:oMath>
      <w:r>
        <w:t xml:space="preserve"> </w:t>
      </w:r>
      <w:r>
        <w:t xml:space="preserve">against</w:t>
      </w:r>
      <w:r>
        <w:t xml:space="preserve"> </w:t>
      </w:r>
      <m:oMath>
        <m:r>
          <m:t>4130</m:t>
        </m:r>
      </m:oMath>
      <w:r>
        <w:t xml:space="preserve"> </w:t>
      </w:r>
      <w:r>
        <w:t xml:space="preserve">steps per season) at a</w:t>
      </w:r>
      <w:r>
        <w:t xml:space="preserve"> </w:t>
      </w:r>
      <w:r>
        <w:t xml:space="preserve">lower margin. The surrogate carries no crop state, so the MPC objective is necessarily a</w:t>
      </w:r>
      <w:r>
        <w:t xml:space="preserve"> </w:t>
      </w:r>
      <w:r>
        <w:t xml:space="preserve">proxy and terminal biomass cannot be priced. The mechanism experiments are single-season</w:t>
      </w:r>
      <w:r>
        <w:t xml:space="preserve"> </w:t>
      </w:r>
      <w:r>
        <w:t xml:space="preserve">and replication is unequal across controllers. The non-monotonicity rests on the middle</w:t>
      </w:r>
      <w:r>
        <w:t xml:space="preserve"> </w:t>
      </w:r>
      <w:r>
        <w:t xml:space="preserve">library, which reaches closed loop under one estimator only. Survival is measured at</w:t>
      </w:r>
      <w:r>
        <w:t xml:space="preserve"> </w:t>
      </w:r>
      <w:r>
        <w:t xml:space="preserve">library level and is not manipulated; apart from the ablation, the mechanism evidence,</w:t>
      </w:r>
      <w:r>
        <w:t xml:space="preserve"> </w:t>
      </w:r>
      <w:r>
        <w:t xml:space="preserve">including the term-deletion test that rejected the detour explanation, consists of</w:t>
      </w:r>
      <w:r>
        <w:t xml:space="preserve"> </w:t>
      </w:r>
      <w:r>
        <w:t xml:space="preserve">controlled structural comparisons without randomisation.</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they neither</w:t>
      </w:r>
      <w:r>
        <w:t xml:space="preserve"> </w:t>
      </w:r>
      <w:r>
        <w:t xml:space="preserve">estimate field-scale benefit nor constitute recommendations for direct commercial</w:t>
      </w:r>
      <w:r>
        <w:t xml:space="preserve"> </w:t>
      </w:r>
      <w:r>
        <w:t xml:space="preserve">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MDPI21heading1"/>
      </w:pPr>
      <w:r>
        <w:t xml:space="preserve">2. </w:t>
      </w:r>
      <w:r>
        <w:t xml:space="preserve">Materials and Methods</w:t>
      </w:r>
    </w:p>
    <w:bookmarkStart w:id="27" w:name="sec:sim"/>
    <w:p>
      <w:pPr>
        <w:pStyle w:val="MDPI22heading2"/>
      </w:pPr>
      <w:r>
        <w:t xml:space="preserve">2.1. </w:t>
      </w:r>
      <w:r>
        <w:t xml:space="preserve">Simulation study design, site, weather and cropping season</w:t>
      </w:r>
    </w:p>
    <w:p>
      <w:pPr>
        <w:pStyle w:val="MDPI31text"/>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MDPI31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MDPI31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over both</w:t>
      </w:r>
      <w:r>
        <w:t xml:space="preserve"> </w:t>
      </w:r>
      <w:r>
        <w:t xml:space="preserve">training seasons (two 60-day trajectories of 5760 control steps per replicate) with a</w:t>
      </w:r>
      <w:r>
        <w:t xml:space="preserve"> </w:t>
      </w:r>
      <w:r>
        <w:t xml:space="preserve">pseudo-random binary excitation of amplitude 0.3 on each of the six actions, redrawn every</w:t>
      </w:r>
      <w:r>
        <w:t xml:space="preserve"> </w:t>
      </w:r>
      <w:r>
        <w:t xml:space="preserve">16 steps (4 h), plus a zero-mean Gaussian perturbation of standard deviation 0.1 redrawn</w:t>
      </w:r>
      <w:r>
        <w:t xml:space="preserve"> </w:t>
      </w:r>
      <w:r>
        <w:t xml:space="preserve">every 5 steps, the sum clipped to the actuator bounds; the condition number of the</w:t>
      </w:r>
      <w:r>
        <w:t xml:space="preserve"> </w:t>
      </w:r>
      <w:r>
        <w:t xml:space="preserve">regression matrix was recorded for every fit [28]. Evaluation rollouts</w:t>
      </w:r>
      <w:r>
        <w:t xml:space="preserve"> </w:t>
      </w:r>
      <w:r>
        <w:t xml:space="preserve">carry no excitation. All greenhouse, crop and actuator parameters are the</w:t>
      </w:r>
      <w:r>
        <w:t xml:space="preserve"> </w:t>
      </w:r>
      <w:r>
        <w:rPr>
          <w:rStyle w:val="VerbatimChar"/>
        </w:rPr>
        <w:t xml:space="preserve">GreenLightTomato-v0</w:t>
      </w:r>
      <w:r>
        <w:t xml:space="preserve"> </w:t>
      </w:r>
      <w:r>
        <w:t xml:space="preserve">defaults of</w:t>
      </w:r>
      <w:r>
        <w:t xml:space="preserve"> </w:t>
      </w:r>
      <w:r>
        <w:rPr>
          <w:rStyle w:val="VerbatimChar"/>
        </w:rPr>
        <w:t xml:space="preserve">gl_gym</w:t>
      </w:r>
      <w:r>
        <w:t xml:space="preserve"> </w:t>
      </w:r>
      <w:r>
        <w:t xml:space="preserve">0.3.1, and the virtual crop</w:t>
      </w:r>
      <w:r>
        <w:t xml:space="preserve"> </w:t>
      </w:r>
      <w:r>
        <w:t xml:space="preserve">starts every season from the environment’s default initial state; only the weather files</w:t>
      </w:r>
      <w:r>
        <w:t xml:space="preserve"> </w:t>
      </w:r>
      <w:r>
        <w:t xml:space="preserve">and the deep-soil boundary described above were changed.</w:t>
      </w:r>
    </w:p>
    <w:bookmarkEnd w:id="27"/>
    <w:bookmarkStart w:id="28" w:name="sec:epi"/>
    <w:p>
      <w:pPr>
        <w:pStyle w:val="MDPI22heading2"/>
      </w:pPr>
      <w:r>
        <w:t xml:space="preserve">2.2. </w:t>
      </w:r>
      <w:r>
        <w:t xml:space="preserve">Economic criterion</w:t>
      </w:r>
    </w:p>
    <w:p>
      <w:pPr>
        <w:pStyle w:val="MDPI31text"/>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tc>
        <w:tc>
          <w:tcPr>
            <w:tcW w:w="431" w:type="dxa"/>
            <w:vAlign w:val="center"/>
          </w:tcPr>
          <w:p w14:paraId="2409C7AF" w14:textId="77777777" w:rsidR="003D23AA" w:rsidRPr="00585318" w:rsidRDefault="003D23AA" w:rsidP="00A421BD">
            <w:pPr>
              <w:pStyle w:val="MDPI3aequationnumber"/>
            </w:pPr>
            <w:r>
              <w:t>(1)</w:t>
            </w:r>
          </w:p>
        </w:tc>
      </w:tr>
    </w:tbl>
    <w:p>
      <w:pPr>
        <w:pStyle w:val="MDPI31text"/>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two reinforcement-learning controllers are trained on the penalised reward while every</w:t>
      </w:r>
      <w:r>
        <w:t xml:space="preserve"> </w:t>
      </w:r>
      <w:r>
        <w:t xml:space="preserve">controller is scored on the unpenalised</w:t>
      </w:r>
      <w:r>
        <w:t xml:space="preserve"> </w:t>
      </w:r>
      <m:oMath>
        <m:r>
          <m:t>J</m:t>
        </m:r>
      </m:oMath>
      <w:r>
        <w:t xml:space="preserve">, so their position on the violation axis</w:t>
      </w:r>
      <w:r>
        <w:t xml:space="preserve"> </w:t>
      </w:r>
      <w:r>
        <w:t xml:space="preserve">partly reflects optimising a different objective from the one reported.</w:t>
      </w:r>
    </w:p>
    <w:p>
      <w:pPr>
        <w:pStyle w:val="MDPI31text"/>
      </w:pPr>
      <m:oMath>
        <m:r>
          <m:t>J</m:t>
        </m:r>
      </m:oMath>
      <w:r>
        <w:t xml:space="preserve"> </w:t>
      </w:r>
      <w:r>
        <w:t xml:space="preserve">omits planting material, labour, water, fertiliser, depreciation and fixed costs; it</w:t>
      </w:r>
      <w:r>
        <w:t xml:space="preserve"> </w:t>
      </w:r>
      <w:r>
        <w:t xml:space="preserve">uses modelled dry-matter growth rather than realised marketable yield; and it does not</w:t>
      </w:r>
      <w:r>
        <w:t xml:space="preserve"> </w:t>
      </w:r>
      <w:r>
        <w:t xml:space="preserve">value the 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MDPI31text"/>
      </w:pPr>
      <m:oMath>
        <m:r>
          <m:t>J</m:t>
        </m:r>
      </m:oMath>
      <w:r>
        <w:t xml:space="preserve"> </w:t>
      </w:r>
      <w:r>
        <w:t xml:space="preserve">contains no penalty term for leaving the productive range, so a controller can raise</w:t>
      </w:r>
      <w:r>
        <w:t xml:space="preserve"> </w:t>
      </w:r>
      <w:r>
        <w:t xml:space="preserve">its margin by accepting 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w:t>
      </w:r>
      <w:r>
        <w:t xml:space="preserve"> </w:t>
      </w:r>
      <m:oMath>
        <m:r>
          <m:t>J</m:t>
        </m:r>
      </m:oMath>
      <w:r>
        <w:t xml:space="preserve"> </w:t>
      </w:r>
      <w:r>
        <w:t xml:space="preserve">and the seasonal count of variable-steps in violation, summed over the three corridor variables,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MDPI22heading2"/>
      </w:pPr>
      <w:r>
        <w:t xml:space="preserve">2.3. </w:t>
      </w:r>
      <w:r>
        <w:t xml:space="preserve">Controllers compared</w:t>
      </w:r>
    </w:p>
    <w:p>
      <w:pPr>
        <w:pStyle w:val="MDPI31text"/>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the same sparse estimator on the same feature library at a</w:t>
      </w:r>
      <w:r>
        <w:t xml:space="preserve"> </w:t>
      </w:r>
      <w:r>
        <w:t xml:space="preserve">threshold of</w:t>
      </w:r>
      <w:r>
        <w:t xml:space="preserve"> </w:t>
      </w:r>
      <m:oMath>
        <m:sSup>
          <m:e>
            <m:r>
              <m:t>10</m:t>
            </m:r>
          </m:e>
          <m:sup>
            <m:r>
              <m:rPr>
                <m:sty m:val="p"/>
              </m:rPr>
              <m:t>−</m:t>
            </m:r>
            <m:r>
              <m:t>6</m:t>
            </m:r>
          </m:sup>
        </m:sSup>
      </m:oMath>
      <w:r>
        <w:t xml:space="preserve">, i.e. the least sparse member of the family; it should not be</w:t>
      </w:r>
      <w:r>
        <w:t xml:space="preserve"> </w:t>
      </w:r>
      <w:r>
        <w:t xml:space="preserve">read as a reduced first-principles grey box.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the loop is</w:t>
      </w:r>
      <w:r>
        <w:t xml:space="preserve"> </w:t>
      </w:r>
      <w:r>
        <w:t xml:space="preserve">on-policy re-identification on the learner’s own closed-loop trajectories and involves no</w:t>
      </w:r>
      <w:r>
        <w:t xml:space="preserve"> </w:t>
      </w:r>
      <w:r>
        <w:t xml:space="preserve">expert demonstrations, which distinguishes it from DAgger and from imitation learning.</w:t>
      </w:r>
      <w:r>
        <w:t xml:space="preserve"> </w:t>
      </w:r>
      <w:r>
        <w:t xml:space="preserve">The loop’s episodes are rolled under the default stage cost, so under the priced</w:t>
      </w:r>
      <w:r>
        <w:t xml:space="preserve"> </w:t>
      </w:r>
      <w:r>
        <w:t xml:space="preserve">objective these two controllers aggregate their training states under one cost function</w:t>
      </w:r>
      <w:r>
        <w:t xml:space="preserve"> </w:t>
      </w:r>
      <w:r>
        <w:t xml:space="preserve">and are evaluated under another; the asymmetry persists in the headline comparison.</w:t>
      </w:r>
    </w:p>
    <w:bookmarkStart w:id="29" w:name="tab:controllers"/>
    <w:p>
      <w:pPr>
        <w:pStyle w:val="MDPI41tablecaption"/>
      </w:pPr>
      <w:r>
        <w:rPr>
          <w:b/>
        </w:rPr>
        <w:t xml:space="preserve">Table 2. </w:t>
      </w: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MDPI41threelinetable"/>
        <w:tblW w:type="pct" w:w="5000"/>
        <w:tblLayout w:type="fixed"/>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168"/>
        <w:gridCol w:w="2168"/>
        <w:gridCol w:w="3583"/>
      </w:tblGrid>
      <w:tr>
        <w:trPr>
          <w:tblHeader w:val="on"/>
        </w:trPr>
        <w:tc>
          <w:tcPr>
            <w:vAlign w:val="top"/>
          </w:tcPr>
          <w:p>
            <w:pPr>
              <w:pStyle w:val="MDPI42tablebody"/>
              <w:suppressAutoHyphens/>
              <w:jc w:val="left"/>
            </w:pPr>
            <w:r>
              <w:t xml:space="preserve">Label</w:t>
            </w:r>
          </w:p>
        </w:tc>
        <w:tc>
          <w:tcPr>
            <w:vAlign w:val="top"/>
          </w:tcPr>
          <w:p>
            <w:pPr>
              <w:pStyle w:val="MDPI42tablebody"/>
              <w:suppressAutoHyphens/>
              <w:jc w:val="center"/>
            </w:pPr>
            <w:r>
              <w:t xml:space="preserve">Family</w:t>
            </w:r>
          </w:p>
        </w:tc>
        <w:tc>
          <w:tcPr>
            <w:vAlign w:val="top"/>
          </w:tcPr>
          <w:p>
            <w:pPr>
              <w:pStyle w:val="MDPI42tablebody"/>
              <w:suppressAutoHyphens/>
              <w:jc w:val="left"/>
            </w:pPr>
            <w:r>
              <w:t xml:space="preserve">Definition</w:t>
            </w:r>
          </w:p>
        </w:tc>
      </w:tr>
      <w:tr>
        <w:tc>
          <w:tcPr>
            <w:vAlign w:val="top"/>
          </w:tcPr>
          <w:p>
            <w:pPr>
              <w:pStyle w:val="MDPI42tablebody"/>
              <w:suppressAutoHyphens/>
              <w:spacing w:after="40"/>
              <w:jc w:val="left"/>
            </w:pPr>
            <w:r>
              <w:rPr>
                <w:rStyle w:val="VerbatimChar"/>
              </w:rPr>
              <w:t xml:space="preserve">rule_based</w:t>
            </w:r>
          </w:p>
        </w:tc>
        <w:tc>
          <w:tcPr>
            <w:vAlign w:val="top"/>
          </w:tcPr>
          <w:p>
            <w:pPr>
              <w:pStyle w:val="MDPI42tablebody"/>
              <w:suppressAutoHyphens/>
              <w:spacing w:after="40"/>
              <w:jc w:val="center"/>
            </w:pPr>
            <w:r>
              <w:t xml:space="preserve">heuristic</w:t>
            </w:r>
          </w:p>
        </w:tc>
        <w:tc>
          <w:tcPr>
            <w:vAlign w:val="top"/>
          </w:tcPr>
          <w:p>
            <w:pPr>
              <w:pStyle w:val="MDPI42tablebody"/>
              <w:suppressAutoHyphens/>
              <w:spacing w:after="40"/>
              <w:jc w:val="left"/>
            </w:pPr>
            <w:r>
              <w:t xml:space="preserve">agronomic setpoint heuristic, hard-coded setpoints; deterministic</w:t>
            </w:r>
          </w:p>
        </w:tc>
      </w:tr>
      <w:tr>
        <w:tc>
          <w:tcPr>
            <w:vAlign w:val="top"/>
          </w:tcPr>
          <w:p>
            <w:pPr>
              <w:pStyle w:val="MDPI42tablebody"/>
              <w:suppressAutoHyphens/>
              <w:spacing w:after="40"/>
              <w:jc w:val="left"/>
            </w:pPr>
            <w:r>
              <w:rPr>
                <w:rStyle w:val="VerbatimChar"/>
              </w:rPr>
              <w:t xml:space="preserve">rule_based_tuned</w:t>
            </w:r>
          </w:p>
        </w:tc>
        <w:tc>
          <w:tcPr>
            <w:vAlign w:val="top"/>
          </w:tcPr>
          <w:p>
            <w:pPr>
              <w:pStyle w:val="MDPI42tablebody"/>
              <w:suppressAutoHyphens/>
              <w:spacing w:after="40"/>
              <w:jc w:val="center"/>
            </w:pPr>
            <w:r>
              <w:t xml:space="preserve">heuristic</w:t>
            </w:r>
          </w:p>
        </w:tc>
        <w:tc>
          <w:tcPr>
            <w:vAlign w:val="top"/>
          </w:tcPr>
          <w:p>
            <w:pPr>
              <w:pStyle w:val="MDPI42tablebody"/>
              <w:suppressAutoHyphens/>
              <w:spacing w:after="40"/>
              <w:jc w:val="left"/>
            </w:pPr>
            <w:r>
              <w:t xml:space="preserve">the same heuristic after a 16-trial setpoint search (Section </w:t>
            </w:r>
            <w:hyperlink w:anchor="sec:rbtune">
              <w:r>
                <w:rPr>
                  <w:rStyle w:val="Hyperlink"/>
                </w:rPr>
                <w:t xml:space="preserve">2.7</w:t>
              </w:r>
            </w:hyperlink>
            <w:r>
              <w:t xml:space="preserve">)</w:t>
            </w:r>
          </w:p>
        </w:tc>
      </w:tr>
      <w:tr>
        <w:tc>
          <w:tcPr>
            <w:vAlign w:val="top"/>
          </w:tcPr>
          <w:p>
            <w:pPr>
              <w:pStyle w:val="MDPI42tablebody"/>
              <w:suppressAutoHyphens/>
              <w:spacing w:after="40"/>
              <w:jc w:val="left"/>
            </w:pPr>
            <w:r>
              <w:rPr>
                <w:rStyle w:val="VerbatimChar"/>
              </w:rPr>
              <w:t xml:space="preserve">sindy_mpc_raw</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raw library,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sindy_mpc_raw_ens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raw library,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sindy_mpc_conf</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sindy_mpc_phys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sindy_mpc_phys_ens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sindy_mpc_dense</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vAlign w:val="top"/>
          </w:tcPr>
          <w:p>
            <w:pPr>
              <w:pStyle w:val="MDPI42tablebody"/>
              <w:suppressAutoHyphens/>
              <w:spacing w:after="40"/>
              <w:jc w:val="left"/>
            </w:pPr>
            <w:r>
              <w:rPr>
                <w:rStyle w:val="VerbatimChar"/>
              </w:rPr>
              <w:t xml:space="preserve">sindy_mpc_lowthr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p>
        </w:tc>
      </w:tr>
      <w:tr>
        <w:tc>
          <w:tcPr>
            <w:vAlign w:val="top"/>
          </w:tcPr>
          <w:p>
            <w:pPr>
              <w:pStyle w:val="MDPI42tablebody"/>
              <w:suppressAutoHyphens/>
              <w:spacing w:after="40"/>
              <w:jc w:val="left"/>
            </w:pPr>
            <w:r>
              <w:rPr>
                <w:rStyle w:val="VerbatimChar"/>
              </w:rPr>
              <w:t xml:space="preserve">sindy_mpc_conf_dagger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conf</w:t>
            </w:r>
            <w:r>
              <w:t xml:space="preserve"> </w:t>
            </w:r>
            <w:r>
              <w:t xml:space="preserve">plus on-policy re-identification</w:t>
            </w:r>
          </w:p>
        </w:tc>
      </w:tr>
      <w:tr>
        <w:tc>
          <w:tcPr>
            <w:vAlign w:val="top"/>
          </w:tcPr>
          <w:p>
            <w:pPr>
              <w:pStyle w:val="MDPI42tablebody"/>
              <w:suppressAutoHyphens/>
              <w:spacing w:after="40"/>
              <w:jc w:val="left"/>
            </w:pPr>
            <w:r>
              <w:rPr>
                <w:rStyle w:val="VerbatimChar"/>
              </w:rPr>
              <w:t xml:space="preserve">sindy_mpc_dense_dagger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dense</w:t>
            </w:r>
            <w:r>
              <w:t xml:space="preserve"> </w:t>
            </w:r>
            <w:r>
              <w:t xml:space="preserve">plus on-policy re-identification</w:t>
            </w:r>
          </w:p>
        </w:tc>
      </w:tr>
      <w:tr>
        <w:tc>
          <w:tcPr>
            <w:vAlign w:val="top"/>
          </w:tcPr>
          <w:p>
            <w:pPr>
              <w:pStyle w:val="MDPI42tablebody"/>
              <w:suppressAutoHyphens/>
              <w:spacing w:after="40"/>
              <w:jc w:val="left"/>
            </w:pPr>
            <w:r>
              <w:rPr>
                <w:rStyle w:val="VerbatimChar"/>
              </w:rPr>
              <w:t xml:space="preserve">nn_mpc</w:t>
            </w:r>
          </w:p>
        </w:tc>
        <w:tc>
          <w:tcPr>
            <w:vAlign w:val="top"/>
          </w:tcPr>
          <w:p>
            <w:pPr>
              <w:pStyle w:val="MDPI42tablebody"/>
              <w:suppressAutoHyphens/>
              <w:spacing w:after="40"/>
              <w:jc w:val="center"/>
            </w:pPr>
            <w:r>
              <w:t xml:space="preserve">neural MPC</w:t>
            </w:r>
          </w:p>
        </w:tc>
        <w:tc>
          <w:tcPr>
            <w:vAlign w:val="top"/>
          </w:tcPr>
          <w:p>
            <w:pPr>
              <w:pStyle w:val="MDPI42tablebody"/>
              <w:suppressAutoHyphens/>
              <w:spacing w:after="40"/>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vAlign w:val="top"/>
          </w:tcPr>
          <w:p>
            <w:pPr>
              <w:pStyle w:val="MDPI42tablebody"/>
              <w:suppressAutoHyphens/>
              <w:spacing w:after="40"/>
              <w:jc w:val="left"/>
            </w:pPr>
            <w:r>
              <w:rPr>
                <w:rStyle w:val="VerbatimChar"/>
              </w:rPr>
              <w:t xml:space="preserve">ppo</w:t>
            </w:r>
            <w:r>
              <w:t xml:space="preserve">,</w:t>
            </w:r>
            <w:r>
              <w:t xml:space="preserve"> </w:t>
            </w:r>
            <w:r>
              <w:rPr>
                <w:rStyle w:val="VerbatimChar"/>
              </w:rPr>
              <w:t xml:space="preserve">sac</w:t>
            </w:r>
          </w:p>
        </w:tc>
        <w:tc>
          <w:tcPr>
            <w:vAlign w:val="top"/>
          </w:tcPr>
          <w:p>
            <w:pPr>
              <w:pStyle w:val="MDPI42tablebody"/>
              <w:suppressAutoHyphens/>
              <w:spacing w:after="40"/>
              <w:jc w:val="center"/>
            </w:pPr>
            <w:r>
              <w:t xml:space="preserve">reinforcement learning</w:t>
            </w:r>
          </w:p>
        </w:tc>
        <w:tc>
          <w:tcPr>
            <w:vAlign w:val="top"/>
          </w:tcPr>
          <w:p>
            <w:pPr>
              <w:pStyle w:val="MDPI42tablebody"/>
              <w:suppressAutoHyphens/>
              <w:spacing w:after="40"/>
              <w:jc w:val="left"/>
            </w:pPr>
            <w:r>
              <w:t xml:space="preserve">proximal policy optimisation (PPO) [30] and soft actor-critic (SAC) [31] from Stable-Baselines3 [32],</w:t>
            </w:r>
            <w:r>
              <w:t xml:space="preserve"> </w:t>
            </w:r>
            <m:oMath>
              <m:r>
                <m:t>2</m:t>
              </m:r>
              <m:r>
                <m:rPr>
                  <m:sty m:val="p"/>
                </m:rPr>
                <m:t>⋅</m:t>
              </m:r>
              <m:sSup>
                <m:e>
                  <m:r>
                    <m:t>10</m:t>
                  </m:r>
                </m:e>
                <m:sup>
                  <m:r>
                    <m:t>5</m:t>
                  </m:r>
                </m:sup>
              </m:sSup>
            </m:oMath>
            <w:r>
              <w:t xml:space="preserve"> </w:t>
            </w:r>
            <w:r>
              <w:t xml:space="preserve">environment steps</w:t>
            </w:r>
          </w:p>
        </w:tc>
      </w:tr>
      <w:tr>
        <w:tc>
          <w:tcPr>
            <w:vAlign w:val="top"/>
          </w:tcPr>
          <w:p>
            <w:pPr>
              <w:pStyle w:val="MDPI42tablebody"/>
              <w:suppressAutoHyphens/>
              <w:spacing w:after="40"/>
              <w:jc w:val="left"/>
            </w:pPr>
            <w:r>
              <w:rPr>
                <w:rStyle w:val="VerbatimChar"/>
              </w:rPr>
              <w:t xml:space="preserve">oracle_mpc</w:t>
            </w:r>
          </w:p>
        </w:tc>
        <w:tc>
          <w:tcPr>
            <w:vAlign w:val="top"/>
          </w:tcPr>
          <w:p>
            <w:pPr>
              <w:pStyle w:val="MDPI42tablebody"/>
              <w:suppressAutoHyphens/>
              <w:spacing w:after="40"/>
              <w:jc w:val="center"/>
            </w:pPr>
            <w:r>
              <w:t xml:space="preserve">idealised</w:t>
            </w:r>
          </w:p>
        </w:tc>
        <w:tc>
          <w:tcPr>
            <w:vAlign w:val="top"/>
          </w:tcPr>
          <w:p>
            <w:pPr>
              <w:pStyle w:val="MDPI42tablebody"/>
              <w:suppressAutoHyphens/>
              <w:spacing w:after="40"/>
              <w:jc w:val="left"/>
            </w:pPr>
            <w:r>
              <w:t xml:space="preserve">cross-entropy planning directly on the simulator integrator: 48 candidate sequences, 2 refinement iterations, elite fraction 0.2</w:t>
            </w:r>
          </w:p>
        </w:tc>
      </w:tr>
      <w:tr>
        <w:tc>
          <w:tcPr>
            <w:gridSpan w:val="3"/>
            <w:vAlign w:val="center"/>
          </w:tcPr>
          <w:p>
            <w:pPr>
              <w:pStyle w:val="MDPI42tablebody"/>
              <w:keepNext/>
              <w:suppressAutoHyphens/>
              <w:spacing w:before="60"/>
              <w:jc w:val="left"/>
            </w:pPr>
            <w:r>
              <w:rPr>
                <w:i/>
                <w:iCs/>
              </w:rPr>
              <w:t xml:space="preserve">Term-deletion probe, outside the fifteen-controller comparison and the Holm family</w:t>
            </w:r>
          </w:p>
        </w:tc>
      </w:tr>
      <w:tr>
        <w:tc>
          <w:tcPr>
            <w:vAlign w:val="top"/>
          </w:tcPr>
          <w:p>
            <w:pPr>
              <w:pStyle w:val="MDPI42tablebody"/>
              <w:suppressAutoHyphens/>
              <w:spacing w:after="40"/>
              <w:jc w:val="left"/>
            </w:pPr>
            <w:r>
              <w:rPr>
                <w:rStyle w:val="VerbatimChar"/>
              </w:rPr>
              <w:t xml:space="preserve">sindy_mpc_notuboil</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physics_no_tuboil</w:t>
            </w:r>
            <w:r>
              <w:t xml:space="preserve">,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sindy_mpc_notuboil_ens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physics_no_tuboil</w:t>
            </w:r>
            <w:r>
              <w:t xml:space="preserve">, ensemble,</w:t>
            </w:r>
            <w:r>
              <w:t xml:space="preserve"> </w:t>
            </w:r>
            <m:oMath>
              <m:r>
                <m:t>λ</m:t>
              </m:r>
              <m:r>
                <m:rPr>
                  <m:sty m:val="p"/>
                </m:rPr>
                <m:t>=</m:t>
              </m:r>
              <m:r>
                <m:t>0.05</m:t>
              </m:r>
            </m:oMath>
          </w:p>
        </w:tc>
      </w:tr>
    </w:tbl>
    <w:bookmarkEnd w:id="29"/>
    <w:p>
      <w:pPr>
        <w:pStyle w:val="MDPI31text"/>
      </w:pPr>
      <w:r>
        <w:t xml:space="preserve">Five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MDPI31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has been</w:t>
      </w:r>
      <w:r>
        <w:t xml:space="preserve"> </w:t>
      </w:r>
      <w:r>
        <w:t xml:space="preserve">searched as well. The two budgets match as stated allocations; no measured search trace</w:t>
      </w:r>
      <w:r>
        <w:t xml:space="preserve"> </w:t>
      </w:r>
      <w:r>
        <w:t xml:space="preserve">underlies the comparison, since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training</w:t>
      </w:r>
      <w:r>
        <w:t xml:space="preserve"> </w:t>
      </w:r>
      <w:r>
        <w:t xml:space="preserve">budget of the two agents is also modest:</w:t>
      </w:r>
      <w:r>
        <w:t xml:space="preserve"> </w:t>
      </w:r>
      <m:oMath>
        <m:r>
          <m:t>2</m:t>
        </m:r>
        <m:r>
          <m:rPr>
            <m:sty m:val="p"/>
          </m:rPr>
          <m:t>⋅</m:t>
        </m:r>
        <m:sSup>
          <m:e>
            <m:r>
              <m:t>10</m:t>
            </m:r>
          </m:e>
          <m:sup>
            <m:r>
              <m:t>5</m:t>
            </m:r>
          </m:sup>
        </m:sSup>
      </m:oMath>
      <w:r>
        <w:t xml:space="preserve"> </w:t>
      </w:r>
      <w:r>
        <w:t xml:space="preserve">environment steps each, about 35</w:t>
      </w:r>
      <w:r>
        <w:t xml:space="preserve"> </w:t>
      </w:r>
      <w:r>
        <w:t xml:space="preserve">seasons, against the</w:t>
      </w:r>
      <w:r>
        <w:t xml:space="preserve"> </w:t>
      </w:r>
      <m:oMath>
        <m:r>
          <m:t>2</m:t>
        </m:r>
        <m:r>
          <m:rPr>
            <m:sty m:val="p"/>
          </m:rPr>
          <m:t>⋅</m:t>
        </m:r>
        <m:sSup>
          <m:e>
            <m:r>
              <m:t>10</m:t>
            </m:r>
          </m:e>
          <m:sup>
            <m:r>
              <m:t>6</m:t>
            </m:r>
          </m:sup>
        </m:sSup>
      </m:oMath>
      <w:r>
        <w:t xml:space="preserve"> </w:t>
      </w:r>
      <w:r>
        <w:t xml:space="preserve">steps with tuned hyper-parameters that the</w:t>
      </w:r>
      <w:r>
        <w:t xml:space="preserve"> </w:t>
      </w:r>
      <w:r>
        <w:t xml:space="preserve">GreenLight-Gym reference used for the same two algorithms [16], so their</w:t>
      </w:r>
      <w:r>
        <w:t xml:space="preserve"> </w:t>
      </w:r>
      <w:r>
        <w:t xml:space="preserve">results bound what that budget achieves at stock settings rather than what the algorithms</w:t>
      </w:r>
      <w:r>
        <w:t xml:space="preserve"> </w:t>
      </w:r>
      <w:r>
        <w:t xml:space="preserve">can achieve on this environment. The prediction</w:t>
      </w:r>
      <w:r>
        <w:t xml:space="preserve"> </w:t>
      </w:r>
      <w:r>
        <w:t xml:space="preserve">horizon was not tuned for any predictive controller either; this asymmetry runs</w:t>
      </w:r>
      <w:r>
        <w:t xml:space="preserve"> </w:t>
      </w:r>
      <w:r>
        <w:t xml:space="preserve">against the MPC family and is taken up in the Discussion.</w:t>
      </w:r>
    </w:p>
    <w:bookmarkEnd w:id="30"/>
    <w:bookmarkStart w:id="31" w:name="sec:sindy"/>
    <w:p>
      <w:pPr>
        <w:pStyle w:val="MDPI22heading2"/>
      </w:pPr>
      <w:r>
        <w:t xml:space="preserve">2.4. </w:t>
      </w:r>
      <w:r>
        <w:t xml:space="preserve">Feature libraries and sparse identification</w:t>
      </w:r>
    </w:p>
    <w:p>
      <w:pPr>
        <w:pStyle w:val="MDPI31text"/>
      </w:pPr>
      <w:r>
        <w:t xml:space="preserve">Sparse regression [10–12] recovers an explicit</w:t>
      </w:r>
      <w:r>
        <w:t xml:space="preserve"> </w:t>
      </w:r>
      <w:r>
        <w:t xml:space="preserve">discrete one-step map</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(2)</w:t>
            </w:r>
          </w:p>
        </w:tc>
      </w:tr>
    </w:tbl>
    <w:p>
      <w:pPr>
        <w:pStyle w:val="MDPI31text"/>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MDPI31text"/>
      </w:pPr>
      <w:r>
        <w:t xml:space="preserve">A fourth library is used in one place only.</w:t>
      </w:r>
      <w:r>
        <w:t xml:space="preserve"> </w:t>
      </w:r>
      <w:r>
        <w:rPr>
          <w:rStyle w:val="VerbatimChar"/>
        </w:rPr>
        <w:t xml:space="preserve">physics_no_tuboil</w:t>
      </w:r>
      <w:r>
        <w:t xml:space="preserve"> </w:t>
      </w:r>
      <w:r>
        <w:t xml:space="preserve">is</w:t>
      </w:r>
      <w:r>
        <w:t xml:space="preserve"> </w:t>
      </w:r>
      <w:r>
        <w:rPr>
          <w:rStyle w:val="VerbatimChar"/>
        </w:rPr>
        <w:t xml:space="preserve">physics</w:t>
      </w:r>
      <w:r>
        <w:t xml:space="preserve"> </w:t>
      </w:r>
      <w:r>
        <w:t xml:space="preserve">with the single bilinear term</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deleted, leaving 17 features. It exists to test the bilinear-detour explanation of</w:t>
      </w:r>
      <w:r>
        <w:t xml:space="preserve"> </w:t>
      </w:r>
      <w:r>
        <w:t xml:space="preserve">Section </w:t>
      </w:r>
      <w:hyperlink w:anchor="sec:res-mech">
        <w:r>
          <w:rPr>
            <w:rStyle w:val="Hyperlink"/>
          </w:rPr>
          <w:t xml:space="preserve">3.5</w:t>
        </w:r>
      </w:hyperlink>
      <w:r>
        <w:t xml:space="preserve"> </w:t>
      </w:r>
      <w:r>
        <w:t xml:space="preserve">and is refit at both sparse estimators at the frozen</w:t>
      </w:r>
      <w:r>
        <w:t xml:space="preserve"> </w:t>
      </w:r>
      <w:r>
        <w:t xml:space="preserve">threshold. Its two controllers are listed separately in</w:t>
      </w:r>
      <w:r>
        <w:t xml:space="preserve"> </w:t>
      </w:r>
      <w:r>
        <w:t xml:space="preserve">Table </w:t>
      </w:r>
      <w:hyperlink w:anchor="tab:controllers">
        <w:r>
          <w:rPr>
            <w:rStyle w:val="Hyperlink"/>
          </w:rPr>
          <w:t xml:space="preserve">2</w:t>
        </w:r>
      </w:hyperlink>
      <w:r>
        <w:t xml:space="preserve">: they lie outside the one-factor series, outside the</w:t>
      </w:r>
      <w:r>
        <w:t xml:space="preserve"> </w:t>
      </w:r>
      <w:r>
        <w:t xml:space="preserve">fifteen-controller comparison and outside the Holm correction family.</w:t>
      </w:r>
    </w:p>
    <w:p>
      <w:pPr>
        <w:pStyle w:val="MDPI31text"/>
      </w:pPr>
      <w:r>
        <w:t xml:space="preserve">The three physical functions are nonlinear transforms of variables already in the raw</w:t>
      </w:r>
      <w:r>
        <w:t xml:space="preserve"> </w:t>
      </w:r>
      <w:r>
        <w:t xml:space="preserve">library and add near-collinear columns without any new measurement. In every library the</w:t>
      </w:r>
      <w:r>
        <w:t xml:space="preserve"> </w:t>
      </w:r>
      <w:r>
        <w:t xml:space="preserve">three states and a constant enter the degree-1 candidate set alongside the listed</w:t>
      </w:r>
      <w:r>
        <w:t xml:space="preserve"> </w:t>
      </w:r>
      <w:r>
        <w:t xml:space="preserve">features, so each state equation selects from 15, 18 and 22 columns for</w:t>
      </w:r>
      <w:r>
        <w:t xml:space="preserve"> </w:t>
      </w:r>
      <w:r>
        <w:rPr>
          <w:rStyle w:val="VerbatimChar"/>
        </w:rPr>
        <w:t xml:space="preserve">raw</w:t>
      </w:r>
      <w:r>
        <w:t xml:space="preserve">,</w:t>
      </w:r>
      <w:r>
        <w:t xml:space="preserve"> </w:t>
      </w:r>
      <w:r>
        <w:rPr>
          <w:rStyle w:val="VerbatimChar"/>
        </w:rPr>
        <w:t xml:space="preserve">physics_no_cross</w:t>
      </w:r>
      <w:r>
        <w:t xml:space="preserve"> </w:t>
      </w:r>
      <w:r>
        <w:t xml:space="preserve">and</w:t>
      </w:r>
      <w:r>
        <w:t xml:space="preserve"> </w:t>
      </w:r>
      <w:r>
        <w:rPr>
          <w:rStyle w:val="VerbatimChar"/>
        </w:rPr>
        <w:t xml:space="preserve">physics</w:t>
      </w:r>
      <w:r>
        <w:t xml:space="preserve"> </w:t>
      </w:r>
      <w:r>
        <w:t xml:space="preserve">(21 for the deletion library), that is</w:t>
      </w:r>
      <w:r>
        <w:t xml:space="preserve"> </w:t>
      </w:r>
      <w:r>
        <w:t xml:space="preserve">45, 54, 66 and 63 candidate coefficients in</w:t>
      </w:r>
      <w:r>
        <w:t xml:space="preserve"> </w:t>
      </w:r>
      <m:oMath>
        <m:r>
          <m:rPr>
            <m:sty m:val="p"/>
          </m:rPr>
          <m:t>Ξ</m:t>
        </m:r>
      </m:oMath>
      <w:r>
        <w:t xml:space="preserve">, and the condition number reported</w:t>
      </w:r>
      <w:r>
        <w:t xml:space="preserve"> </w:t>
      </w:r>
      <w:r>
        <w:t xml:space="preserve">throughout is that of the standardised regressor matrix of states and features. States</w:t>
      </w:r>
      <w:r>
        <w:t xml:space="preserve"> </w:t>
      </w:r>
      <w:r>
        <w:t xml:space="preserve">and features are standardised before thresholding, so the threshold acts on</w:t>
      </w:r>
      <w:r>
        <w:t xml:space="preserve"> </w:t>
      </w:r>
      <w:r>
        <w:t xml:space="preserve">dimensionless quantities, and the coefficients are transformed back to physical units.</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random realisation, so the bootstrap draw is treated as an explicit</w:t>
      </w:r>
      <w:r>
        <w:t xml:space="preserve"> </w:t>
      </w:r>
      <w:r>
        <w:t xml:space="preserve">design axis and the number of draws is recorded per row for each wave, namely 10 per</w:t>
      </w:r>
      <w:r>
        <w:t xml:space="preserve"> </w:t>
      </w:r>
      <w:r>
        <w:t xml:space="preserve">seed in the canonical wave and 6 per seed in the later wave that added the raw-library</w:t>
      </w:r>
      <w:r>
        <w:t xml:space="preserve"> </w:t>
      </w:r>
      <w:r>
        <w:t xml:space="preserve">controller.</w:t>
      </w:r>
    </w:p>
    <w:bookmarkEnd w:id="31"/>
    <w:bookmarkStart w:id="32" w:name="sec:ladder"/>
    <w:p>
      <w:pPr>
        <w:pStyle w:val="MDPI22heading2"/>
      </w:pPr>
      <w:r>
        <w:t xml:space="preserve">2.5. </w:t>
      </w:r>
      <w:r>
        <w:t xml:space="preserve">Identification ladder and pre-specified open-loop criteria</w:t>
      </w:r>
    </w:p>
    <w:p>
      <w:pPr>
        <w:pStyle w:val="MDPI31text"/>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The applied criteria</w:t>
      </w:r>
      <w:r>
        <w:t xml:space="preserve"> </w:t>
      </w:r>
      <w:r>
        <w:t xml:space="preserve">differ on both counts. The divergence criterion was operationalised as a fixed threshold</w:t>
      </w:r>
      <w:r>
        <w:t xml:space="preserve"> </w:t>
      </w:r>
      <w:r>
        <w:t xml:space="preserve">of 0.05 in the table generator, and the transparency column is empty in all 1440 rows,</w:t>
      </w:r>
      <w:r>
        <w:t xml:space="preserve"> </w:t>
      </w:r>
      <w:r>
        <w:t xml:space="preserve">so that gate was never evaluated. Under embeddability and the 0.05 threshold, 32 of the</w:t>
      </w:r>
      <w:r>
        <w:t xml:space="preserve"> </w:t>
      </w:r>
      <w:r>
        <w:t xml:space="preserve">72 labels pass. The protocol that</w:t>
      </w:r>
      <w:r>
        <w:t xml:space="preserve"> </w:t>
      </w:r>
      <w:r>
        <w:t xml:space="preserve">fixed these criteria,</w:t>
      </w:r>
      <w:r>
        <w:t xml:space="preserve"> </w:t>
      </w:r>
      <w:r>
        <w:rPr>
          <w:rStyle w:val="VerbatimChar"/>
        </w:rPr>
        <w:t xml:space="preserve">EXPERIMENT_PROTOCOL.md</w:t>
      </w:r>
      <w:r>
        <w:t xml:space="preserve">, is included in the archived</w:t>
      </w:r>
      <w:r>
        <w:t xml:space="preserve"> </w:t>
      </w:r>
      <w:r>
        <w:t xml:space="preserve">replication package named in the Data Availability Statement.</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MDPI31text"/>
      </w:pPr>
      <w:r>
        <w:t xml:space="preserve">The grid has four properties that limit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MDPI22heading2"/>
      </w:pPr>
      <w:r>
        <w:t xml:space="preserve">2.6. </w:t>
      </w:r>
      <w:r>
        <w:t xml:space="preserve">MPC formulation and stage cost</w:t>
      </w:r>
    </w:p>
    <w:p>
      <w:pPr>
        <w:pStyle w:val="MDPI31text"/>
      </w:pPr>
      <w:r>
        <w:t xml:space="preserve">The explicit form of Equation (2) allows it to be embedded analytically in a</w:t>
      </w:r>
      <w:r>
        <w:t xml:space="preserve"> </w:t>
      </w:r>
      <w:r>
        <w:t xml:space="preserve">finite-horizon optimal control problem [4]:</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eqArr>
                  <m:e>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r>
                      <m:t>&amp;</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r>
                              <m:rPr>
                                <m:sty m:val="p"/>
                              </m:rPr>
                              <m:t>+</m:t>
                            </m:r>
                            <m:r>
                              <m:rPr>
                                <m:sty m:val="p"/>
                              </m:rPr>
                              <m:t>Δ</m:t>
                            </m:r>
                            <m:sSubSup>
                              <m:e>
                                <m:r>
                                  <m:t>u</m:t>
                                </m:r>
                              </m:e>
                              <m:sub>
                                <m:r>
                                  <m:t>k</m:t>
                                </m:r>
                              </m:sub>
                              <m:sup>
                                <m:r>
                                  <m:rPr>
                                    <m:sty m:val="p"/>
                                  </m:rPr>
                                  <m:t>⊤</m:t>
                                </m:r>
                              </m:sup>
                            </m:sSubSup>
                            <m:r>
                              <m:t>R</m:t>
                            </m:r>
                            <m:r>
                              <m:t> </m:t>
                            </m:r>
                            <m:r>
                              <m:rPr>
                                <m:sty m:val="p"/>
                              </m:rPr>
                              <m:t>Δ</m:t>
                            </m:r>
                            <m:sSub>
                              <m:e>
                                <m:r>
                                  <m:t>u</m:t>
                                </m:r>
                              </m:e>
                              <m:sub>
                                <m:r>
                                  <m:t>k</m:t>
                                </m:r>
                              </m:sub>
                            </m:sSub>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e>
                  <m:e>
                    <m:r>
                      <m:rPr>
                        <m:sty m:val="p"/>
                      </m:rPr>
                      <m:t>s.t.</m:t>
                    </m:r>
                    <m:r>
                      <m:t> </m:t>
                    </m:r>
                    <m:r>
                      <m:t>&amp;</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r>
                      <m:t> </m:t>
                    </m:r>
                    <m:sSub>
                      <m:e>
                        <m:r>
                          <m:t>u</m:t>
                        </m:r>
                      </m:e>
                      <m:sub>
                        <m:r>
                          <m:t>k</m:t>
                        </m:r>
                      </m:sub>
                    </m:sSub>
                    <m:r>
                      <m:rPr>
                        <m:sty m:val="p"/>
                      </m:rPr>
                      <m:t>∈</m:t>
                    </m:r>
                    <m:r>
                      <m:rPr>
                        <m:sty m:val="p"/>
                      </m:rPr>
                      <m:t>[</m:t>
                    </m:r>
                    <m:r>
                      <m:t>0</m:t>
                    </m:r>
                    <m:r>
                      <m:rPr>
                        <m:sty m:val="p"/>
                      </m:rPr>
                      <m:t>,</m:t>
                    </m:r>
                    <m:r>
                      <m:t>1</m:t>
                    </m:r>
                    <m:sSup>
                      <m:e>
                        <m:r>
                          <m:rPr>
                            <m:sty m:val="p"/>
                          </m:rPr>
                          <m:t>]</m:t>
                        </m:r>
                      </m:e>
                      <m:sup>
                        <m:r>
                          <m:t>6</m:t>
                        </m:r>
                      </m:sup>
                    </m:sSup>
                    <m:r>
                      <m:rPr>
                        <m:sty m:val="p"/>
                      </m:rPr>
                      <m:t>,</m:t>
                    </m:r>
                    <m:r>
                      <m:t> </m:t>
                    </m:r>
                    <m:sSub>
                      <m:e>
                        <m:r>
                          <m:t>u</m:t>
                        </m:r>
                      </m:e>
                      <m:sub>
                        <m:r>
                          <m:rPr>
                            <m:sty m:val="p"/>
                          </m:rPr>
                          <m:t>v</m:t>
                        </m:r>
                        <m:r>
                          <m:rPr>
                            <m:sty m:val="p"/>
                          </m:rPr>
                          <m:t>e</m:t>
                        </m:r>
                        <m:r>
                          <m:rPr>
                            <m:sty m:val="p"/>
                          </m:rPr>
                          <m:t>n</m:t>
                        </m:r>
                        <m:r>
                          <m:rPr>
                            <m:sty m:val="p"/>
                          </m:rPr>
                          <m:t>t</m:t>
                        </m:r>
                        <m:r>
                          <m:rPr>
                            <m:sty m:val="p"/>
                          </m:rPr>
                          <m:t>,</m:t>
                        </m:r>
                        <m:r>
                          <m:t>k</m:t>
                        </m:r>
                      </m:sub>
                    </m:sSub>
                    <m:r>
                      <m:rPr>
                        <m:sty m:val="p"/>
                      </m:rPr>
                      <m:t>≤</m:t>
                    </m:r>
                    <m:r>
                      <m:t>0.4</m:t>
                    </m:r>
                    <m:r>
                      <m:rPr>
                        <m:sty m:val="p"/>
                      </m:rPr>
                      <m:t>,</m:t>
                    </m:r>
                    <m:r>
                      <m:t> </m:t>
                    </m:r>
                    <m:r>
                      <m:t>12</m:t>
                    </m:r>
                    <m:r>
                      <m:rPr>
                        <m:sty m:val="p"/>
                      </m:rPr>
                      <m:t>≤</m:t>
                    </m:r>
                    <m:sSub>
                      <m:e>
                        <m:r>
                          <m:t>T</m:t>
                        </m:r>
                      </m:e>
                      <m:sub>
                        <m:r>
                          <m:rPr>
                            <m:sty m:val="p"/>
                          </m:rPr>
                          <m:t>i</m:t>
                        </m:r>
                        <m:r>
                          <m:rPr>
                            <m:sty m:val="p"/>
                          </m:rPr>
                          <m:t>n</m:t>
                        </m:r>
                        <m:r>
                          <m:rPr>
                            <m:sty m:val="p"/>
                          </m:rPr>
                          <m:t>,</m:t>
                        </m:r>
                        <m:r>
                          <m:t>k</m:t>
                        </m:r>
                      </m:sub>
                    </m:sSub>
                    <m:r>
                      <m:rPr>
                        <m:sty m:val="p"/>
                      </m:rPr>
                      <m:t>≤</m:t>
                    </m:r>
                    <m:r>
                      <m:t>35</m:t>
                    </m:r>
                    <m:r>
                      <m:rPr>
                        <m:sty m:val="p"/>
                      </m:rPr>
                      <m:t>,</m:t>
                    </m:r>
                  </m:e>
                </m:eqArr>
              </m:oMath>
            </m:oMathPara>
          </w:p>
        </w:tc>
        <w:tc>
          <w:tcPr>
            <w:tcW w:w="431" w:type="dxa"/>
            <w:vAlign w:val="center"/>
          </w:tcPr>
          <w:p w14:paraId="2409C7AF" w14:textId="77777777" w:rsidR="003D23AA" w:rsidRPr="00585318" w:rsidRDefault="003D23AA" w:rsidP="00A421BD">
            <w:pPr>
              <w:pStyle w:val="MDPI3aequationnumber"/>
            </w:pPr>
            <w:r>
              <w:t>(3)</w:t>
            </w:r>
          </w:p>
        </w:tc>
      </w:tr>
    </w:tbl>
    <w:p>
      <w:pPr>
        <w:pStyle w:val="MDPI31text"/>
      </w:pPr>
      <w:r>
        <w:t xml:space="preserve">with</w:t>
      </w:r>
      <w:r>
        <w:t xml:space="preserve"> </w:t>
      </w:r>
      <m:oMath>
        <m:r>
          <m:t>N</m:t>
        </m:r>
        <m:r>
          <m:rPr>
            <m:sty m:val="p"/>
          </m:rPr>
          <m:t>=</m:t>
        </m:r>
        <m:r>
          <m:t>20</m:t>
        </m:r>
      </m:oMath>
      <w:r>
        <w:t xml:space="preserve"> </w:t>
      </w:r>
      <w:r>
        <w:t xml:space="preserve">steps (5 h),</w:t>
      </w:r>
      <w:r>
        <w:t xml:space="preserve"> </w:t>
      </w:r>
      <m:oMath>
        <m:r>
          <m:rPr>
            <m:sty m:val="p"/>
          </m:rPr>
          <m:t>Δ</m:t>
        </m:r>
        <m:sSub>
          <m:e>
            <m:r>
              <m:t>u</m:t>
            </m:r>
          </m:e>
          <m:sub>
            <m:r>
              <m:t>k</m:t>
            </m:r>
          </m:sub>
        </m:sSub>
        <m:r>
          <m:rPr>
            <m:sty m:val="p"/>
          </m:rPr>
          <m:t>=</m:t>
        </m:r>
        <m:sSub>
          <m:e>
            <m:r>
              <m:t>u</m:t>
            </m:r>
          </m:e>
          <m:sub>
            <m:r>
              <m:t>k</m:t>
            </m:r>
          </m:sub>
        </m:sSub>
        <m:r>
          <m:rPr>
            <m:sty m:val="p"/>
          </m:rPr>
          <m:t>−</m:t>
        </m:r>
        <m:sSub>
          <m:e>
            <m:r>
              <m:t>u</m:t>
            </m:r>
          </m:e>
          <m:sub>
            <m:r>
              <m:t>k</m:t>
            </m:r>
            <m:r>
              <m:rPr>
                <m:sty m:val="p"/>
              </m:rPr>
              <m:t>−</m:t>
            </m:r>
            <m:r>
              <m:t>1</m:t>
            </m:r>
          </m:sub>
        </m:sSub>
      </m:oMath>
      <w:r>
        <w:t xml:space="preserve"> </w:t>
      </w:r>
      <w:r>
        <w:t xml:space="preserve">and</w:t>
      </w:r>
      <w:r>
        <w:t xml:space="preserve"> </w:t>
      </w:r>
      <m:oMath>
        <m:r>
          <m:t>R</m:t>
        </m:r>
        <m:r>
          <m:rPr>
            <m:sty m:val="p"/>
          </m:rPr>
          <m:t>=</m:t>
        </m:r>
        <m:r>
          <m:rPr>
            <m:sty m:val="p"/>
          </m:rPr>
          <m:t>d</m:t>
        </m:r>
        <m:r>
          <m:rPr>
            <m:sty m:val="p"/>
          </m:rPr>
          <m:t>i</m:t>
        </m:r>
        <m:r>
          <m:rPr>
            <m:sty m:val="p"/>
          </m:rPr>
          <m:t>a</m:t>
        </m:r>
        <m:r>
          <m:rPr>
            <m:sty m:val="p"/>
          </m:rPr>
          <m:t>g</m:t>
        </m:r>
        <m:r>
          <m:rPr>
            <m:sty m:val="p"/>
          </m:rPr>
          <m:t>(</m:t>
        </m:r>
        <m:r>
          <m:t>10</m:t>
        </m:r>
        <m:r>
          <m:rPr>
            <m:sty m:val="p"/>
          </m:rPr>
          <m:t>,</m:t>
        </m:r>
        <m:r>
          <m:t>5</m:t>
        </m:r>
        <m:r>
          <m:rPr>
            <m:sty m:val="p"/>
          </m:rPr>
          <m:t>,</m:t>
        </m:r>
        <m:r>
          <m:t>100</m:t>
        </m:r>
        <m:r>
          <m:rPr>
            <m:sty m:val="p"/>
          </m:rPr>
          <m:t>,</m:t>
        </m:r>
        <m:r>
          <m:t>50</m:t>
        </m:r>
        <m:r>
          <m:rPr>
            <m:sty m:val="p"/>
          </m:rPr>
          <m:t>,</m:t>
        </m:r>
        <m:r>
          <m:t>1</m:t>
        </m:r>
        <m:r>
          <m:rPr>
            <m:sty m:val="p"/>
          </m:rPr>
          <m:t>,</m:t>
        </m:r>
        <m:r>
          <m:t>1</m:t>
        </m:r>
        <m:r>
          <m:rPr>
            <m:sty m:val="p"/>
          </m:rPr>
          <m:t>)</m:t>
        </m:r>
      </m:oMath>
      <w:r>
        <w:t xml:space="preserve"> </w:t>
      </w:r>
      <w:r>
        <w:t xml:space="preserve">in the actuator order of Section </w:t>
      </w:r>
      <w:hyperlink w:anchor="sec:sindy">
        <w:r>
          <w:rPr>
            <w:rStyle w:val="Hyperlink"/>
          </w:rPr>
          <w:t xml:space="preserve">2.4</w:t>
        </w:r>
      </w:hyperlink>
      <w:r>
        <w:t xml:space="preserve"> </w:t>
      </w:r>
      <w:r>
        <w:t xml:space="preserve">(boiler, CO</w:t>
      </w:r>
      <m:oMath>
        <m:sSub>
          <m:e>
            <m:r>
              <m:t>​</m:t>
            </m:r>
          </m:e>
          <m:sub>
            <m:r>
              <m:t>2</m:t>
            </m:r>
          </m:sub>
        </m:sSub>
      </m:oMath>
      <w:r>
        <w:t xml:space="preserve">, thermal screen,</w:t>
      </w:r>
      <w:r>
        <w:t xml:space="preserve"> </w:t>
      </w:r>
      <w:r>
        <w:t xml:space="preserve">ventilation, lamps, blackout screen).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the temperature bounds</w:t>
      </w:r>
      <w:r>
        <w:t xml:space="preserve"> </w:t>
      </w:r>
      <m:oMath>
        <m:r>
          <m:rPr>
            <m:sty m:val="p"/>
          </m:rPr>
          <m:t>[</m:t>
        </m:r>
        <m:r>
          <m:t>12</m:t>
        </m:r>
        <m:r>
          <m:rPr>
            <m:sty m:val="p"/>
          </m:rPr>
          <m:t>,</m:t>
        </m:r>
        <m:r>
          <m:t>35</m:t>
        </m:r>
        <m:r>
          <m:rPr>
            <m:sty m:val="p"/>
          </m:rPr>
          <m:t>]</m:t>
        </m:r>
        <m:sSup>
          <m:e>
            <m:r>
              <m:t> </m:t>
            </m:r>
          </m:e>
          <m:sup>
            <m:r>
              <m:rPr>
                <m:sty m:val="p"/>
              </m:rPr>
              <m:t>∘</m:t>
            </m:r>
          </m:sup>
        </m:sSup>
      </m:oMath>
      <w:r>
        <w:t xml:space="preserve">C, the</w:t>
      </w:r>
      <w:r>
        <w:t xml:space="preserve"> </w:t>
      </w:r>
      <w:r>
        <w:t xml:space="preserve">ventilation bound</w:t>
      </w:r>
      <w:r>
        <w:t xml:space="preserve"> </w:t>
      </w:r>
      <m:oMath>
        <m:r>
          <m:t>0.4</m:t>
        </m:r>
      </m:oMath>
      <w:r>
        <w:t xml:space="preserve"> </w:t>
      </w:r>
      <w:r>
        <w:t xml:space="preserve">and the unit box on the other controls are hard constraints, and</w:t>
      </w:r>
      <w:r>
        <w:t xml:space="preserve"> </w:t>
      </w:r>
      <w:r>
        <w:t xml:space="preserve">the 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MDPI31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so the variant changes only the relative actuator weights and keeps the</w:t>
      </w:r>
      <w:r>
        <w:t xml:space="preserve"> </w:t>
      </w:r>
      <w:r>
        <w:t xml:space="preserve">overall balance between the resource and corridor terms.</w:t>
      </w:r>
    </w:p>
    <w:p>
      <w:pPr>
        <w:pStyle w:val="MDPI31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were not re-evaluated under the price-aligned weights.</w:t>
      </w:r>
    </w:p>
    <w:bookmarkEnd w:id="33"/>
    <w:bookmarkStart w:id="35" w:name="sec:rbtune"/>
    <w:p>
      <w:pPr>
        <w:pStyle w:val="MDPI22heading2"/>
      </w:pPr>
      <w:r>
        <w:t xml:space="preserve">2.7. </w:t>
      </w:r>
      <w:r>
        <w:t xml:space="preserve">Rule-based reference and its tuning</w:t>
      </w:r>
    </w:p>
    <w:p>
      <w:pPr>
        <w:pStyle w:val="MDPI31text"/>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MDPI41tablecaption"/>
      </w:pPr>
      <w:r>
        <w:rPr>
          <w:b/>
        </w:rPr>
        <w:t xml:space="preserve">Table 3. </w:t>
      </w: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vAlign w:val="center"/>
          </w:tcPr>
          <w:p>
            <w:pPr>
              <w:pStyle w:val="MDPI42tablebody"/>
              <w:suppressAutoHyphens/>
              <w:jc w:val="center"/>
            </w:pPr>
            <w:r>
              <w:t xml:space="preserve">Setpoint</w:t>
            </w:r>
          </w:p>
        </w:tc>
        <w:tc>
          <w:tcPr>
            <w:vAlign w:val="center"/>
          </w:tcPr>
          <w:p>
            <w:pPr>
              <w:pStyle w:val="MDPI42tablebody"/>
              <w:suppressAutoHyphens/>
              <w:jc w:val="center"/>
            </w:pPr>
            <w:r>
              <w:t xml:space="preserve">Range searched</w:t>
            </w:r>
          </w:p>
        </w:tc>
        <w:tc>
          <w:tcPr>
            <w:vAlign w:val="center"/>
          </w:tcPr>
          <w:p>
            <w:pPr>
              <w:pStyle w:val="MDPI42tablebody"/>
              <w:suppressAutoHyphens/>
              <w:jc w:val="center"/>
            </w:pPr>
            <w:r>
              <w:t xml:space="preserve">Hard-coded</w:t>
            </w:r>
          </w:p>
        </w:tc>
        <w:tc>
          <w:tcPr>
            <w:vAlign w:val="center"/>
          </w:tcPr>
          <w:p>
            <w:pPr>
              <w:pStyle w:val="MDPI42tablebody"/>
              <w:suppressAutoHyphens/>
              <w:jc w:val="center"/>
            </w:pPr>
            <w:r>
              <w:t xml:space="preserve">Selected</w:t>
            </w:r>
          </w:p>
        </w:tc>
      </w:tr>
      <w:tr>
        <w:tc>
          <w:tcPr>
            <w:vAlign w:val="center"/>
          </w:tcPr>
          <w:p>
            <w:pPr>
              <w:pStyle w:val="MDPI42tablebody"/>
              <w:suppressAutoHyphens/>
              <w:jc w:val="center"/>
            </w:pPr>
            <w:r>
              <w:rPr>
                <w:rStyle w:val="VerbatimChar"/>
              </w:rPr>
              <w:t xml:space="preserve">temp_setpoint_day</w:t>
            </w:r>
            <w:r>
              <w:t xml:space="preserve"> </w:t>
            </w:r>
            <w:r>
              <w:t xml:space="preserve">(</w:t>
            </w:r>
            <m:oMath>
              <m:sSup>
                <m:e>
                  <m:r>
                    <m:t>​</m:t>
                  </m:r>
                </m:e>
                <m:sup>
                  <m:r>
                    <m:rPr>
                      <m:sty m:val="p"/>
                    </m:rPr>
                    <m:t>∘</m:t>
                  </m:r>
                </m:sup>
              </m:sSup>
            </m:oMath>
            <w:r>
              <w:t xml:space="preserve">C)</w:t>
            </w:r>
          </w:p>
        </w:tc>
        <w:tc>
          <w:tcPr>
            <w:vAlign w:val="center"/>
          </w:tcPr>
          <w:p>
            <w:pPr>
              <w:pStyle w:val="MDPI42tablebody"/>
              <w:suppressAutoHyphens/>
              <w:jc w:val="center"/>
            </w:pPr>
            <w:r>
              <w:t xml:space="preserve">17.0–23.0</w:t>
            </w:r>
          </w:p>
        </w:tc>
        <w:tc>
          <w:tcPr>
            <w:vAlign w:val="center"/>
          </w:tcPr>
          <w:p>
            <w:pPr>
              <w:pStyle w:val="MDPI42tablebody"/>
              <w:suppressAutoHyphens/>
              <w:jc w:val="center"/>
            </w:pPr>
            <w:r>
              <w:t xml:space="preserve">19.5</w:t>
            </w:r>
          </w:p>
        </w:tc>
        <w:tc>
          <w:tcPr>
            <w:vAlign w:val="center"/>
          </w:tcPr>
          <w:p>
            <w:pPr>
              <w:pStyle w:val="MDPI42tablebody"/>
              <w:suppressAutoHyphens/>
              <w:jc w:val="center"/>
            </w:pPr>
            <w:r>
              <w:t xml:space="preserve">22.92</w:t>
            </w:r>
          </w:p>
        </w:tc>
      </w:tr>
      <w:tr>
        <w:tc>
          <w:tcPr>
            <w:vAlign w:val="center"/>
          </w:tcPr>
          <w:p>
            <w:pPr>
              <w:pStyle w:val="MDPI42tablebody"/>
              <w:suppressAutoHyphens/>
              <w:jc w:val="center"/>
            </w:pPr>
            <w:r>
              <w:rPr>
                <w:rStyle w:val="VerbatimChar"/>
              </w:rPr>
              <w:t xml:space="preserve">temp_setpoint_night</w:t>
            </w:r>
            <w:r>
              <w:t xml:space="preserve"> </w:t>
            </w:r>
            <w:r>
              <w:t xml:space="preserve">(</w:t>
            </w:r>
            <m:oMath>
              <m:sSup>
                <m:e>
                  <m:r>
                    <m:t>​</m:t>
                  </m:r>
                </m:e>
                <m:sup>
                  <m:r>
                    <m:rPr>
                      <m:sty m:val="p"/>
                    </m:rPr>
                    <m:t>∘</m:t>
                  </m:r>
                </m:sup>
              </m:sSup>
            </m:oMath>
            <w:r>
              <w:t xml:space="preserve">C)</w:t>
            </w:r>
          </w:p>
        </w:tc>
        <w:tc>
          <w:tcPr>
            <w:vAlign w:val="center"/>
          </w:tcPr>
          <w:p>
            <w:pPr>
              <w:pStyle w:val="MDPI42tablebody"/>
              <w:suppressAutoHyphens/>
              <w:jc w:val="center"/>
            </w:pPr>
            <w:r>
              <w:t xml:space="preserve">14.0–20.0</w:t>
            </w:r>
          </w:p>
        </w:tc>
        <w:tc>
          <w:tcPr>
            <w:vAlign w:val="center"/>
          </w:tcPr>
          <w:p>
            <w:pPr>
              <w:pStyle w:val="MDPI42tablebody"/>
              <w:suppressAutoHyphens/>
              <w:jc w:val="center"/>
            </w:pPr>
            <w:r>
              <w:t xml:space="preserve">16.5</w:t>
            </w:r>
          </w:p>
        </w:tc>
        <w:tc>
          <w:tcPr>
            <w:vAlign w:val="center"/>
          </w:tcPr>
          <w:p>
            <w:pPr>
              <w:pStyle w:val="MDPI42tablebody"/>
              <w:suppressAutoHyphens/>
              <w:jc w:val="center"/>
            </w:pPr>
            <w:r>
              <w:t xml:space="preserve">14.38</w:t>
            </w:r>
          </w:p>
        </w:tc>
      </w:tr>
      <w:tr>
        <w:tc>
          <w:tcPr>
            <w:vAlign w:val="center"/>
          </w:tcPr>
          <w:p>
            <w:pPr>
              <w:pStyle w:val="MDPI42tablebody"/>
              <w:suppressAutoHyphens/>
              <w:jc w:val="center"/>
            </w:pPr>
            <w:r>
              <w:rPr>
                <w:rStyle w:val="VerbatimChar"/>
              </w:rPr>
              <w:t xml:space="preserve">co2_day</w:t>
            </w:r>
            <w:r>
              <w:t xml:space="preserve"> </w:t>
            </w:r>
            <w:r>
              <w:t xml:space="preserve">(ppm)</w:t>
            </w:r>
          </w:p>
        </w:tc>
        <w:tc>
          <w:tcPr>
            <w:vAlign w:val="center"/>
          </w:tcPr>
          <w:p>
            <w:pPr>
              <w:pStyle w:val="MDPI42tablebody"/>
              <w:suppressAutoHyphens/>
              <w:jc w:val="center"/>
            </w:pPr>
            <w:r>
              <w:t xml:space="preserve">400–1200</w:t>
            </w:r>
          </w:p>
        </w:tc>
        <w:tc>
          <w:tcPr>
            <w:vAlign w:val="center"/>
          </w:tcPr>
          <w:p>
            <w:pPr>
              <w:pStyle w:val="MDPI42tablebody"/>
              <w:suppressAutoHyphens/>
              <w:jc w:val="center"/>
            </w:pPr>
            <w:r>
              <w:t xml:space="preserve">800</w:t>
            </w:r>
          </w:p>
        </w:tc>
        <w:tc>
          <w:tcPr>
            <w:vAlign w:val="center"/>
          </w:tcPr>
          <w:p>
            <w:pPr>
              <w:pStyle w:val="MDPI42tablebody"/>
              <w:suppressAutoHyphens/>
              <w:jc w:val="center"/>
            </w:pPr>
            <w:r>
              <w:t xml:space="preserve">828.26</w:t>
            </w:r>
          </w:p>
        </w:tc>
      </w:tr>
      <w:tr>
        <w:tc>
          <w:tcPr>
            <w:vAlign w:val="center"/>
          </w:tcPr>
          <w:p>
            <w:pPr>
              <w:pStyle w:val="MDPI42tablebody"/>
              <w:suppressAutoHyphens/>
              <w:jc w:val="center"/>
            </w:pPr>
            <w:r>
              <w:rPr>
                <w:rStyle w:val="VerbatimChar"/>
              </w:rPr>
              <w:t xml:space="preserve">lamp_rad_sum_limit</w:t>
            </w:r>
          </w:p>
        </w:tc>
        <w:tc>
          <w:tcPr>
            <w:vAlign w:val="center"/>
          </w:tcPr>
          <w:p>
            <w:pPr>
              <w:pStyle w:val="MDPI42tablebody"/>
              <w:suppressAutoHyphens/>
              <w:jc w:val="center"/>
            </w:pPr>
            <w:r>
              <w:t xml:space="preserve">5.0–25.0</w:t>
            </w:r>
          </w:p>
        </w:tc>
        <w:tc>
          <w:tcPr>
            <w:vAlign w:val="center"/>
          </w:tcPr>
          <w:p>
            <w:pPr>
              <w:pStyle w:val="MDPI42tablebody"/>
              <w:suppressAutoHyphens/>
              <w:jc w:val="center"/>
            </w:pPr>
            <w:r>
              <w:t xml:space="preserve">10</w:t>
            </w:r>
          </w:p>
        </w:tc>
        <w:tc>
          <w:tcPr>
            <w:vAlign w:val="center"/>
          </w:tcPr>
          <w:p>
            <w:pPr>
              <w:pStyle w:val="MDPI42tablebody"/>
              <w:suppressAutoHyphens/>
              <w:jc w:val="center"/>
            </w:pPr>
            <w:r>
              <w:t xml:space="preserve">7.62</w:t>
            </w:r>
          </w:p>
        </w:tc>
      </w:tr>
      <w:tr>
        <w:tc>
          <w:tcPr>
            <w:vAlign w:val="center"/>
          </w:tcPr>
          <w:p>
            <w:pPr>
              <w:pStyle w:val="MDPI42tablebody"/>
              <w:suppressAutoHyphens/>
              <w:jc w:val="center"/>
            </w:pPr>
            <w:r>
              <w:t xml:space="preserve">Training</w:t>
            </w:r>
            <w:r>
              <w:t xml:space="preserve"> </w:t>
            </w:r>
            <m:oMath>
              <m:r>
                <m:t>J</m:t>
              </m:r>
            </m:oMath>
            <w:r>
              <w:t xml:space="preserve"> </w:t>
            </w:r>
            <w:r>
              <w:t xml:space="preserve">(mean 2018–2019, EUR m</w:t>
            </w:r>
            <m:oMath>
              <m:sSup>
                <m:e>
                  <m:r>
                    <m:t>​</m:t>
                  </m:r>
                </m:e>
                <m:sup>
                  <m:r>
                    <m:rPr>
                      <m:sty m:val="p"/>
                    </m:rPr>
                    <m:t>−</m:t>
                  </m:r>
                  <m:r>
                    <m:t>2</m:t>
                  </m:r>
                </m:sup>
              </m:sSup>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1.936</m:t>
              </m:r>
            </m:oMath>
            <w:r>
              <w:t xml:space="preserve">​</w:t>
            </w:r>
          </w:p>
        </w:tc>
        <w:tc>
          <w:tcPr>
            <w:vAlign w:val="center"/>
          </w:tcPr>
          <w:p>
            <w:pPr>
              <w:pStyle w:val="MDPI42tablebody"/>
              <w:suppressAutoHyphens/>
              <w:jc w:val="center"/>
            </w:pPr>
            <m:oMath>
              <m:r>
                <m:rPr>
                  <m:sty m:val="p"/>
                </m:rPr>
                <m:t>+</m:t>
              </m:r>
              <m:r>
                <m:t>0.920</m:t>
              </m:r>
            </m:oMath>
            <w:r>
              <w:t xml:space="preserve">​</w:t>
            </w:r>
          </w:p>
        </w:tc>
      </w:tr>
      <w:tr>
        <w:tc>
          <w:tcPr>
            <w:vAlign w:val="center"/>
          </w:tcPr>
          <w:p>
            <w:pPr>
              <w:pStyle w:val="MDPI42tablebody"/>
              <w:suppressAutoHyphens/>
              <w:jc w:val="center"/>
            </w:pPr>
            <w:r>
              <w:t xml:space="preserve">Test</w:t>
            </w:r>
            <w:r>
              <w:t xml:space="preserve"> </w:t>
            </w:r>
            <m:oMath>
              <m:r>
                <m:t>J</m:t>
              </m:r>
            </m:oMath>
            <w:r>
              <w:t xml:space="preserve"> </w:t>
            </w:r>
            <w:r>
              <w:t xml:space="preserve">(mean 2020–2023, EUR m</w:t>
            </w:r>
            <m:oMath>
              <m:sSup>
                <m:e>
                  <m:r>
                    <m:t>​</m:t>
                  </m:r>
                </m:e>
                <m:sup>
                  <m:r>
                    <m:rPr>
                      <m:sty m:val="p"/>
                    </m:rPr>
                    <m:t>−</m:t>
                  </m:r>
                  <m:r>
                    <m:t>2</m:t>
                  </m:r>
                </m:sup>
              </m:sSup>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1.226</m:t>
              </m:r>
            </m:oMath>
            <w:r>
              <w:t xml:space="preserve">​</w:t>
            </w:r>
          </w:p>
        </w:tc>
        <w:tc>
          <w:tcPr>
            <w:vAlign w:val="center"/>
          </w:tcPr>
          <w:p>
            <w:pPr>
              <w:pStyle w:val="MDPI42tablebody"/>
              <w:suppressAutoHyphens/>
              <w:jc w:val="center"/>
            </w:pPr>
            <m:oMath>
              <m:r>
                <m:rPr>
                  <m:sty m:val="p"/>
                </m:rPr>
                <m:t>+</m:t>
              </m:r>
              <m:r>
                <m:t>2.261</m:t>
              </m:r>
            </m:oMath>
            <w:r>
              <w:t xml:space="preserve">​</w:t>
            </w:r>
          </w:p>
        </w:tc>
      </w:tr>
    </w:tbl>
    <w:bookmarkEnd w:id="34"/>
    <w:p>
      <w:pPr>
        <w:pStyle w:val="MDPI31text"/>
      </w:pPr>
      <w:r>
        <w:t xml:space="preserve">The outcome of the search, the gain over the stock setpoints and the percentile of the</w:t>
      </w:r>
      <w:r>
        <w:t xml:space="preserve"> </w:t>
      </w:r>
      <w:r>
        <w:t xml:space="preserve">stock configuration inside the searched space are reported in</w:t>
      </w:r>
      <w:r>
        <w:t xml:space="preserve"> </w:t>
      </w:r>
      <w:r>
        <w:t xml:space="preserve">Section </w:t>
      </w:r>
      <w:hyperlink w:anchor="sec:res-tune">
        <w:r>
          <w:rPr>
            <w:rStyle w:val="Hyperlink"/>
          </w:rPr>
          <w:t xml:space="preserve">3.2</w:t>
        </w:r>
      </w:hyperlink>
      <w:r>
        <w:t xml:space="preserve">.</w:t>
      </w:r>
    </w:p>
    <w:bookmarkEnd w:id="35"/>
    <w:bookmarkStart w:id="36" w:name="sec:stats"/>
    <w:p>
      <w:pPr>
        <w:pStyle w:val="MDPI22heading2"/>
      </w:pPr>
      <w:r>
        <w:t xml:space="preserve">2.8. </w:t>
      </w:r>
      <w:r>
        <w:t xml:space="preserve">Statistical treatment</w:t>
      </w:r>
    </w:p>
    <w:p>
      <w:pPr>
        <w:pStyle w:val="MDPI31text"/>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20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r>
        <w:t xml:space="preserve"> </w:t>
      </w:r>
      <w:r>
        <w:t xml:space="preserve">The seed is therefore the unit at which the identified surrogates are independent, and the</w:t>
      </w:r>
      <w:r>
        <w:t xml:space="preserve"> </w:t>
      </w:r>
      <w:r>
        <w:t xml:space="preserve">four test seasons of one seed are repeated measures on one surrogate, not four further</w:t>
      </w:r>
      <w:r>
        <w:t xml:space="preserve"> </w:t>
      </w:r>
      <w:r>
        <w:t xml:space="preserve">replicates. Tests at run level treat the (seed, season) pairs as exchangeable, and their</w:t>
      </w:r>
      <w:r>
        <w:t xml:space="preserve"> </w:t>
      </w:r>
      <w:r>
        <w:t xml:space="preserve">levels are optimistic to the extent that seasons of one seed agree; every run-level test</w:t>
      </w:r>
      <w:r>
        <w:t xml:space="preserve"> </w:t>
      </w:r>
      <w:r>
        <w:t xml:space="preserve">in the main comparison is therefore repeated on per-seed four-season means (20 values, 10</w:t>
      </w:r>
      <w:r>
        <w:t xml:space="preserve"> </w:t>
      </w:r>
      <w:r>
        <w:t xml:space="preserve">for the neural MPC), and the two are reported side by side wherever they disagree</w:t>
      </w:r>
      <w:r>
        <w:t xml:space="preserve"> </w:t>
      </w:r>
      <w:r>
        <w:t xml:space="preserve">(Table </w:t>
      </w:r>
      <w:hyperlink w:anchor="tab:wilcoxon">
        <w:r>
          <w:rPr>
            <w:rStyle w:val="Hyperlink"/>
          </w:rPr>
          <w:t xml:space="preserve">7</w:t>
        </w:r>
      </w:hyperlink>
      <w:r>
        <w:t xml:space="preserve">, Section </w:t>
      </w:r>
      <w:hyperlink w:anchor="sec:res-main">
        <w:r>
          <w:rPr>
            <w:rStyle w:val="Hyperlink"/>
          </w:rPr>
          <w:t xml:space="preserve">3.3</w:t>
        </w:r>
      </w:hyperlink>
      <w:r>
        <w:t xml:space="preserve">).</w:t>
      </w:r>
    </w:p>
    <w:p>
      <w:pPr>
        <w:pStyle w:val="MDPI31text"/>
      </w:pPr>
      <w:r>
        <w:t xml:space="preserve">Three accounting rules are applied before any average is computed. First, several waves</w:t>
      </w:r>
      <w:r>
        <w:t xml:space="preserve"> </w:t>
      </w:r>
      <w:r>
        <w:t xml:space="preserve">were resumed after</w:t>
      </w:r>
      <w:r>
        <w:t xml:space="preserve"> </w:t>
      </w:r>
      <w:r>
        <w:t xml:space="preserve">interruptions and their files overlap, so rows are deduplicated on</w:t>
      </w:r>
      <w:r>
        <w:t xml:space="preserve"> </w:t>
      </w:r>
      <w:r>
        <w:t xml:space="preserve">(method, seed, test_year), or on the block-specific factor key,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(as-is, over complete seasons only, and normalised by the realised season fraction) with any rank change reported.</w:t>
      </w:r>
    </w:p>
    <w:p>
      <w:pPr>
        <w:pStyle w:val="MDPI31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Comparisons against the rule-based references are the exception. Both</w:t>
      </w:r>
      <w:r>
        <w:t xml:space="preserve"> </w:t>
      </w:r>
      <w:r>
        <w:t xml:space="preserve">references are deterministic, so a comparison against either is a one-sample signed-rank</w:t>
      </w:r>
      <w:r>
        <w:t xml:space="preserve"> </w:t>
      </w:r>
      <w:r>
        <w:t xml:space="preserve">test of the differences against a constant; the reference contributes no second sample</w:t>
      </w:r>
      <w:r>
        <w:t xml:space="preserve"> </w:t>
      </w:r>
      <w:r>
        <w:t xml:space="preserve">and has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MDPI31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because the data contain a contrast significant at</w:t>
      </w:r>
      <w:r>
        <w:t xml:space="preserve"> </w:t>
      </w:r>
      <m:oMath>
        <m:r>
          <m:t>p</m:t>
        </m:r>
        <m:r>
          <m:rPr>
            <m:sty m:val="p"/>
          </m:rPr>
          <m:t>=</m:t>
        </m:r>
        <m:r>
          <m:t>0.012</m:t>
        </m:r>
      </m:oMath>
      <w:r>
        <w:t xml:space="preserve"> </w:t>
      </w:r>
      <w:r>
        <w:t xml:space="preserve">for a difference of 0.0066 EUR m</w:t>
      </w:r>
      <m:oMath>
        <m:sSup>
          <m:e>
            <m:r>
              <m:t>​</m:t>
            </m:r>
          </m:e>
          <m:sup>
            <m:r>
              <m:rPr>
                <m:sty m:val="p"/>
              </m:rPr>
              <m:t>−</m:t>
            </m:r>
            <m:r>
              <m:t>2</m:t>
            </m:r>
          </m:sup>
        </m:sSup>
      </m:oMath>
      <w:r>
        <w:t xml:space="preserve">, and another whose mean is nine times its</w:t>
      </w:r>
      <w:r>
        <w:t xml:space="preserve"> </w:t>
      </w:r>
      <w:r>
        <w:t xml:space="preserve">median.</w:t>
      </w:r>
    </w:p>
    <w:bookmarkEnd w:id="36"/>
    <w:bookmarkStart w:id="37" w:name="sec:repro"/>
    <w:p>
      <w:pPr>
        <w:pStyle w:val="MDPI22heading2"/>
      </w:pPr>
      <w:r>
        <w:t xml:space="preserve">2.9. </w:t>
      </w:r>
      <w:r>
        <w:t xml:space="preserve">Reproducibility, provenance and its limits</w:t>
      </w:r>
    </w:p>
    <w:p>
      <w:pPr>
        <w:pStyle w:val="MDPI31text"/>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MDPI31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12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MDPI31text"/>
      </w:pPr>
      <w:r>
        <w:t xml:space="preserve">The computing stack is Python throughout: NumPy 1.26.4, SciPy 1.17.1, pandas 2.3.3,</w:t>
      </w:r>
      <w:r>
        <w:t xml:space="preserve"> </w:t>
      </w:r>
      <w:r>
        <w:t xml:space="preserve">scikit-learn 1.8.0, PySINDy 2.1.0 (the sparse estimators), CasADi 3.7.2 with its bundled</w:t>
      </w:r>
      <w:r>
        <w:t xml:space="preserve"> </w:t>
      </w:r>
      <w:r>
        <w:t xml:space="preserve">IPOPT, do-mpc 5.1.1, PyTorch 2.11.0, Stable-Baselines3 2.9.0, Gymnasium 1.2.3 and</w:t>
      </w:r>
      <w:r>
        <w:t xml:space="preserve"> </w:t>
      </w:r>
      <w:r>
        <w:rPr>
          <w:rStyle w:val="VerbatimChar"/>
        </w:rPr>
        <w:t xml:space="preserve">gl_gym</w:t>
      </w:r>
      <w:r>
        <w:t xml:space="preserve"> </w:t>
      </w:r>
      <w:r>
        <w:t xml:space="preserve">0.3.1; the pinned list is part of the replication package. Two computing</w:t>
      </w:r>
      <w:r>
        <w:t xml:space="preserve"> </w:t>
      </w:r>
      <w:r>
        <w:t xml:space="preserve">environments were used, and every result row records which. The canonical</w:t>
      </w:r>
      <w:r>
        <w:t xml:space="preserve"> </w:t>
      </w:r>
      <w:r>
        <w:t xml:space="preserve">default-objective blocks (the main table, the mechanism block, fault injection, the</w:t>
      </w:r>
      <w:r>
        <w:t xml:space="preserve"> </w:t>
      </w:r>
      <w:r>
        <w:t xml:space="preserve">coarse design grid, the bootstrap-draw wave and the original ladder) were produced on a</w:t>
      </w:r>
      <w:r>
        <w:t xml:space="preserve"> </w:t>
      </w:r>
      <w:r>
        <w:t xml:space="preserve">Linux compute cluster under Python 3.11; every other wave, namely the priced pool, the</w:t>
      </w:r>
      <w:r>
        <w:t xml:space="preserve"> </w:t>
      </w:r>
      <w:r>
        <w:t xml:space="preserve">full-</w:t>
      </w:r>
      <w:r>
        <w:rPr>
          <w:rStyle w:val="VerbatimChar"/>
        </w:rPr>
        <w:t xml:space="preserve">physics</w:t>
      </w:r>
      <w:r>
        <w:t xml:space="preserve"> </w:t>
      </w:r>
      <w:r>
        <w:t xml:space="preserve">and term-deletion libraries, the heuristic tuning and the</w:t>
      </w:r>
      <w:r>
        <w:t xml:space="preserve"> </w:t>
      </w:r>
      <w:r>
        <w:t xml:space="preserve">unseen-season, held-out, ladder-recomputation, horizon, replay, adaptation, guard and</w:t>
      </w:r>
      <w:r>
        <w:t xml:space="preserve"> </w:t>
      </w:r>
      <w:r>
        <w:t xml:space="preserve">sensitivity blocks, was produced on a workstation under Python 3.14.</w:t>
      </w:r>
    </w:p>
    <w:p>
      <w:pPr>
        <w:pStyle w:val="MDPI31text"/>
      </w:pPr>
      <w:r>
        <w:t xml:space="preserve">The self-test establishes bit-identity within one environment only. No wave was</w:t>
      </w:r>
      <w:r>
        <w:t xml:space="preserve"> </w:t>
      </w:r>
      <w:r>
        <w:t xml:space="preserve">re-executed in the other environment, so the cross-environment reproducibility of any</w:t>
      </w:r>
      <w:r>
        <w:t xml:space="preserve"> </w:t>
      </w:r>
      <w:r>
        <w:t xml:space="preserve">single wave was not measured directly. The provenance record does not close that gap:</w:t>
      </w:r>
      <w:r>
        <w:t xml:space="preserve"> </w:t>
      </w:r>
      <w:r>
        <w:t xml:space="preserve">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w:t>
      </w:r>
      <w:r>
        <w:t xml:space="preserve"> </w:t>
      </w:r>
      <w:r>
        <w:t xml:space="preserve">the field is absent from all 21 run manifests under</w:t>
      </w:r>
      <w:r>
        <w:t xml:space="preserve"> </w:t>
      </w:r>
      <w:r>
        <w:rPr>
          <w:rStyle w:val="VerbatimChar"/>
        </w:rPr>
        <w:t xml:space="preserve">regen/results</w:t>
      </w:r>
      <w:r>
        <w:t xml:space="preserve"> </w:t>
      </w:r>
      <w:r>
        <w:t xml:space="preserve">and the</w:t>
      </w:r>
      <w:r>
        <w:t xml:space="preserve"> </w:t>
      </w:r>
      <w:r>
        <w:t xml:space="preserve">generated provenance map prints</w:t>
      </w:r>
      <w:r>
        <w:t xml:space="preserve"> </w:t>
      </w:r>
      <w:r>
        <w:rPr>
          <w:rStyle w:val="VerbatimChar"/>
        </w:rPr>
        <w:t xml:space="preserve">env_hash: n/a</w:t>
      </w:r>
      <w:r>
        <w:t xml:space="preserve">. Manifests are separated only by</w:t>
      </w:r>
      <w:r>
        <w:t xml:space="preserve"> </w:t>
      </w:r>
      <w:r>
        <w:rPr>
          <w:rStyle w:val="VerbatimChar"/>
        </w:rPr>
        <w:t xml:space="preserve">git_sha</w:t>
      </w:r>
      <w:r>
        <w:t xml:space="preserve">, 12 distinct values across those 21 manifests at one common</w:t>
      </w:r>
      <w:r>
        <w:t xml:space="preserve"> </w:t>
      </w:r>
      <w:r>
        <w:rPr>
          <w:rStyle w:val="VerbatimChar"/>
        </w:rPr>
        <w:t xml:space="preserve">config_hash</w:t>
      </w:r>
      <w:r>
        <w:t xml:space="preserve">, which identifies the code but not the machine it ran on; the</w:t>
      </w:r>
      <w:r>
        <w:t xml:space="preserve"> </w:t>
      </w:r>
      <w:r>
        <w:t xml:space="preserve">per-row environment tag is the only record of where a wave ran.</w:t>
      </w:r>
    </w:p>
    <w:p>
      <w:pPr>
        <w:pStyle w:val="MDPI31text"/>
      </w:pPr>
      <w:r>
        <w:t xml:space="preserve">The tree does show what a change of environment does to a controller with no stochastic</w:t>
      </w:r>
      <w:r>
        <w:t xml:space="preserve"> </w:t>
      </w:r>
      <w:r>
        <w:t xml:space="preserve">element, because the two harnesses that scored the hard-coded heuristic ran in the two</w:t>
      </w:r>
      <w:r>
        <w:t xml:space="preserve"> </w:t>
      </w:r>
      <w:r>
        <w:t xml:space="preserve">environments (the main harness on the cluster, the tuning harness on the workstation). The hard-coded</w:t>
      </w:r>
      <w:r>
        <w:t xml:space="preserve"> </w:t>
      </w:r>
      <w:r>
        <w:t xml:space="preserve">heuristic returns a four-season mean of</w:t>
      </w:r>
      <w:r>
        <w:t xml:space="preserve"> </w:t>
      </w:r>
      <m:oMath>
        <m:r>
          <m:rPr>
            <m:sty m:val="p"/>
          </m:rPr>
          <m:t>−</m:t>
        </m:r>
        <m:r>
          <m:t>1.2061</m:t>
        </m:r>
      </m:oMath>
      <w:r>
        <w:t xml:space="preserve"> 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EUR m</w:t>
      </w:r>
      <m:oMath>
        <m:sSup>
          <m:e>
            <m:r>
              <m:t>​</m:t>
            </m:r>
          </m:e>
          <m:sup>
            <m:r>
              <m:rPr>
                <m:sty m:val="p"/>
              </m:rPr>
              <m:t>−</m:t>
            </m:r>
            <m:r>
              <m:t>2</m:t>
            </m:r>
          </m:sup>
        </m:sSup>
      </m:oMath>
      <w:r>
        <w:t xml:space="preserve"> </w:t>
      </w:r>
      <w:r>
        <w:t xml:space="preserve">for 2020–2023). Although a deterministic controller re-run on the</w:t>
      </w:r>
      <w:r>
        <w:t xml:space="preserve"> </w:t>
      </w:r>
      <w:r>
        <w:t xml:space="preserve">same season should return the same number, the discrepancy is chaotic amplification of</w:t>
      </w:r>
      <w:r>
        <w:t xml:space="preserve"> </w:t>
      </w:r>
      <w:r>
        <w:t xml:space="preserve">last-bit floating-point differences through a 5760-step nonlinear loop, which is the same</w:t>
      </w:r>
      <w:r>
        <w:t xml:space="preserve"> </w:t>
      </w:r>
      <w:r>
        <w:t xml:space="preserve">mechanism that makes bit-level agreement across operating environments implausible a priori.</w:t>
      </w:r>
      <w:r>
        <w:t xml:space="preserve"> </w:t>
      </w:r>
      <w:r>
        <w:t xml:space="preserve">The rule adopted here is therefore that a whole wave is regenerated in one environment</w:t>
      </w:r>
      <w:r>
        <w:t xml:space="preserve"> </w:t>
      </w:r>
      <w:r>
        <w:t xml:space="preserve">and closed-loop levels are never mixed cell-by-cell across the two. The one place where</w:t>
      </w:r>
      <w:r>
        <w:t xml:space="preserve"> </w:t>
      </w:r>
      <w:r>
        <w:t xml:space="preserve">cells from both environments meet is the seed-matched priced-minus-default difference of</w:t>
      </w:r>
      <w:r>
        <w:t xml:space="preserve"> </w:t>
      </w:r>
      <w:r>
        <w:t xml:space="preserve">Section </w:t>
      </w:r>
      <w:hyperlink w:anchor="sec:res-main">
        <w:r>
          <w:rPr>
            <w:rStyle w:val="Hyperlink"/>
          </w:rPr>
          <w:t xml:space="preserve">3.3</w:t>
        </w:r>
      </w:hyperlink>
      <w:r>
        <w:t xml:space="preserve">: for the five</w:t>
      </w:r>
      <w:r>
        <w:t xml:space="preserve"> </w:t>
      </w:r>
      <w:r>
        <w:rPr>
          <w:rStyle w:val="VerbatimChar"/>
        </w:rPr>
        <w:t xml:space="preserve">physics_no_cross</w:t>
      </w:r>
      <w:r>
        <w:t xml:space="preserve"> </w:t>
      </w:r>
      <w:r>
        <w:t xml:space="preserve">controllers and the</w:t>
      </w:r>
      <w:r>
        <w:t xml:space="preserve"> </w:t>
      </w:r>
      <w:r>
        <w:t xml:space="preserve">neural MPC the default-objective cell comes from the cluster and the priced cell from the</w:t>
      </w:r>
      <w:r>
        <w:t xml:space="preserve"> </w:t>
      </w:r>
      <w:r>
        <w:t xml:space="preserve">workstation (the two raw-library controllers have both cells on the workstation), so those</w:t>
      </w:r>
      <w:r>
        <w:t xml:space="preserve"> </w:t>
      </w:r>
      <w:r>
        <w:t xml:space="preserve">differences carry the environment drift measured here on top of the objective effect, and</w:t>
      </w:r>
      <w:r>
        <w:t xml:space="preserve"> </w:t>
      </w:r>
      <w:r>
        <w:t xml:space="preserve">they are read against it. Because the environment is recorded only</w:t>
      </w:r>
      <w:r>
        <w:t xml:space="preserve"> </w:t>
      </w:r>
      <w:r>
        <w:t xml:space="preserve">as a per-row tag and not as a fingerprint, this provenance scheme cannot support</w:t>
      </w:r>
      <w:r>
        <w:t xml:space="preserve"> </w:t>
      </w:r>
      <w:r>
        <w:t xml:space="preserve">a cross-platform guarantee.</w:t>
      </w:r>
    </w:p>
    <w:bookmarkEnd w:id="37"/>
    <w:bookmarkEnd w:id="38"/>
    <w:bookmarkStart w:id="73" w:name="sec:results"/>
    <w:p>
      <w:pPr>
        <w:pStyle w:val="MDPI21heading1"/>
      </w:pPr>
      <w:r>
        <w:t xml:space="preserve">3. </w:t>
      </w:r>
      <w:r>
        <w:t xml:space="preserve">Results</w:t>
      </w:r>
    </w:p>
    <w:p>
      <w:pPr>
        <w:pStyle w:val="MDPI31text"/>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variable-steps outside the</w:t>
      </w:r>
      <w:r>
        <w:t xml:space="preserve"> </w:t>
      </w:r>
      <w:r>
        <w:t xml:space="preserve">productive envelope, summed over inside-air temperature, CO</w:t>
      </w:r>
      <m:oMath>
        <m:sSub>
          <m:e>
            <m:r>
              <m:t>​</m:t>
            </m:r>
          </m:e>
          <m:sub>
            <m:r>
              <m:t>2</m:t>
            </m:r>
          </m:sub>
        </m:sSub>
      </m:oMath>
      <w:r>
        <w:t xml:space="preserve"> </w:t>
      </w:r>
      <w:r>
        <w:t xml:space="preserve">and relative humidity.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default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default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w:t>
      </w:r>
      <w:r>
        <w:t xml:space="preserve">(the two</w:t>
      </w:r>
      <w:r>
        <w:t xml:space="preserve"> </w:t>
      </w:r>
      <w:r>
        <w:t xml:space="preserve">harnesses ran in the two computing environments of Section </w:t>
      </w:r>
      <w:hyperlink w:anchor="sec:repro">
        <w:r>
          <w:rPr>
            <w:rStyle w:val="Hyperlink"/>
          </w:rPr>
          <w:t xml:space="preserve">2.9</w:t>
        </w:r>
      </w:hyperlink>
      <w:r>
        <w:t xml:space="preserve">), so</w:t>
      </w:r>
      <w:r>
        <w:t xml:space="preserve"> </w:t>
      </w:r>
      <w:r>
        <w:t xml:space="preserve">closed-loop levels are compared within one environment, and the one seed-matched</w:t>
      </w:r>
      <w:r>
        <w:t xml:space="preserve"> </w:t>
      </w:r>
      <w:r>
        <w:t xml:space="preserve">difference that crosses the two is read against that drift.</w:t>
      </w:r>
    </w:p>
    <w:bookmarkStart w:id="44" w:name="sec:res-ladder"/>
    <w:p>
      <w:pPr>
        <w:pStyle w:val="MDPI22heading2"/>
      </w:pPr>
      <w:r>
        <w:t xml:space="preserve">3.1. </w:t>
      </w:r>
      <w:r>
        <w:t xml:space="preserve">One-step and multi-step criteria rank the feature libraries oppositely</w:t>
      </w:r>
    </w:p>
    <w:p>
      <w:pPr>
        <w:pStyle w:val="MDPI31text"/>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optimisers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MDPI31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root-mean-square error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appropriate</w:t>
      </w:r>
      <w:r>
        <w:t xml:space="preserve"> </w:t>
      </w:r>
      <w:r>
        <w:t xml:space="preserve">summary.</w:t>
      </w:r>
      <w:r>
        <w:t xml:space="preserve"> </w:t>
      </w:r>
      <m:oMath>
        <m:r>
          <m:t>κ</m:t>
        </m:r>
      </m:oMath>
      <w:r>
        <w:t xml:space="preserve"> </w:t>
      </w:r>
      <w:r>
        <w:t xml:space="preserve">varies with the library and the denoiser and is unaffected by degree and</w:t>
      </w:r>
      <w:r>
        <w:t xml:space="preserve"> </w:t>
      </w:r>
      <w:r>
        <w:t xml:space="preserve">optimiser. The relation is equally clean at fixed optimiser, which matters because the</w:t>
      </w:r>
      <w:r>
        <w:t xml:space="preserve"> </w:t>
      </w:r>
      <w:r>
        <w:t xml:space="preserve">closed-loop comparison below holds the optimiser fixed: under the ensemble estimator alone</w:t>
      </w:r>
      <w:r>
        <w:t xml:space="preserve"> </w:t>
      </w:r>
      <w:r>
        <w:t xml:space="preserve">the median 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w:t>
      </w:r>
      <w:r>
        <w:t xml:space="preserve"> </w:t>
      </w:r>
      <w:r>
        <w:t xml:space="preserve">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MDPI31text"/>
      </w:pPr>
      <w:r>
        <w:t xml:space="preserve">Conditioning is claimed to predict only open-loop multi-step stability. It orders the</w:t>
      </w:r>
      <w:r>
        <w:t xml:space="preserve"> </w:t>
      </w:r>
      <w:r>
        <w:t xml:space="preserve">three libraries monotonically on that criterion, and the ordering reproduces on a held-out</w:t>
      </w:r>
      <w:r>
        <w:t xml:space="preserve"> </w:t>
      </w:r>
      <w:r>
        <w:t xml:space="preserve">year (below), but it does not transfer to the closed loop. The same three libraries,</w:t>
      </w:r>
      <w:r>
        <w:t xml:space="preserve"> </w:t>
      </w:r>
      <w:r>
        <w:t xml:space="preserve">compared one factor at a time (ensemble estimator, threshold</w:t>
      </w:r>
      <w:r>
        <w:t xml:space="preserve"> </w:t>
      </w:r>
      <m:oMath>
        <m:r>
          <m:t>0.05</m:t>
        </m:r>
      </m:oMath>
      <w:r>
        <w:t xml:space="preserve">, only the library</w:t>
      </w:r>
      <w:r>
        <w:t xml:space="preserve"> </w:t>
      </w:r>
      <w:r>
        <w:t xml:space="preserve">changed),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 four test seasons</w:t>
      </w:r>
      <w:r>
        <w:t xml:space="preserve"> </w:t>
      </w:r>
      <w:r>
        <w:t xml:space="preserve">(Table </w:t>
      </w:r>
      <w:hyperlink w:anchor="tab:main">
        <w:r>
          <w:rPr>
            <w:rStyle w:val="Hyperlink"/>
          </w:rPr>
          <w:t xml:space="preserve">6</w:t>
        </w:r>
      </w:hyperlink>
      <w:r>
        <w:t xml:space="preserve">), so the worst-conditioned library outscores the middle one by a</w:t>
      </w:r>
      <w:r>
        <w:t xml:space="preserve"> </w:t>
      </w:r>
      <w:r>
        <w:t xml:space="preserve">factor of 10 and the series in</w:t>
      </w:r>
      <w:r>
        <w:t xml:space="preserve"> </w:t>
      </w:r>
      <m:oMath>
        <m:r>
          <m:t>κ</m:t>
        </m:r>
      </m:oMath>
      <w:r>
        <w:t xml:space="preserve"> </w:t>
      </w:r>
      <w:r>
        <w:t xml:space="preserve">is non-monotone in closed loop. This subsection</w:t>
      </w:r>
      <w:r>
        <w:t xml:space="preserve"> </w:t>
      </w:r>
      <w:r>
        <w:t xml:space="preserve">therefore does not explain the economic result; Section </w:t>
      </w:r>
      <w:hyperlink w:anchor="sec:res-mech">
        <w:r>
          <w:rPr>
            <w:rStyle w:val="Hyperlink"/>
          </w:rPr>
          <w:t xml:space="preserve">3.5</w:t>
        </w:r>
      </w:hyperlink>
      <w:r>
        <w:t xml:space="preserve"> </w:t>
      </w:r>
      <w:r>
        <w:t xml:space="preserve">attributes that</w:t>
      </w:r>
      <w:r>
        <w:t xml:space="preserve"> </w:t>
      </w:r>
      <w:r>
        <w:t xml:space="preserve">result to actuator-pathway survival.</w:t>
      </w:r>
    </w:p>
    <w:p>
      <w:pPr>
        <w:pStyle w:val="MDPI31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optimiser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Therefore the library with the best one-step accuracy is the worst on every multi-step</w:t>
      </w:r>
      <w:r>
        <w:t xml:space="preserve"> </w:t>
      </w:r>
      <w:r>
        <w:t xml:space="preserve">metric, and the strict inversion holds under sparse estimation. Two properties of the grid</w:t>
      </w:r>
      <w:r>
        <w:t xml:space="preserve"> </w:t>
      </w:r>
      <w:r>
        <w:t xml:space="preserve">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w:t>
      </w:r>
      <w:r>
        <w:t xml:space="preserve"> </w:t>
      </w:r>
      <w:r>
        <w:t xml:space="preserve">all 360 seed-cells, so 72 labels cover 54 distinct fits and the pooled upper panel of</w:t>
      </w:r>
      <w:r>
        <w:t xml:space="preserve"> </w:t>
      </w:r>
      <w:r>
        <w:t xml:space="preserve">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applied gates (embeddable and diverged fraction</w:t>
      </w:r>
      <w:r>
        <w:t xml:space="preserve"> </w:t>
      </w:r>
      <m:oMath>
        <m:r>
          <m:rPr>
            <m:sty m:val="p"/>
          </m:rPr>
          <m:t>≤</m:t>
        </m:r>
        <m:r>
          <m:t>0.05</m:t>
        </m:r>
      </m:oMath>
      <w:r>
        <w:t xml:space="preserve">).</w:t>
      </w:r>
    </w:p>
    <w:p>
      <w:pPr>
        <w:pStyle w:val="MDPI31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applied open-loop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applied open-loop axes (63rd of 72 on median rollout error, 64th on divergence)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MDPI31text"/>
      </w:pPr>
      <w:r>
        <w:t xml:space="preserve">This bounds what the selection rule can be claimed to do. The rule identifies the best</w:t>
      </w:r>
      <w:r>
        <w:t xml:space="preserve"> </w:t>
      </w:r>
      <w:r>
        <w:t xml:space="preserve">library, since</w:t>
      </w:r>
      <w:r>
        <w:t xml:space="preserve"> </w:t>
      </w:r>
      <w:r>
        <w:rPr>
          <w:rStyle w:val="VerbatimChar"/>
        </w:rPr>
        <w:t xml:space="preserve">raw</w:t>
      </w:r>
      <w:r>
        <w:t xml:space="preserve"> </w:t>
      </w:r>
      <w:r>
        <w:t xml:space="preserve">is first on multi-step stability and first in closed loop, but</w:t>
      </w:r>
      <w:r>
        <w:t xml:space="preserve"> </w:t>
      </w:r>
      <w:r>
        <w:t xml:space="preserve">it does not order the other two. In 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 gate passes scores</w:t>
      </w:r>
      <w:r>
        <w:t xml:space="preserve"> </w:t>
      </w:r>
      <m:oMath>
        <m:r>
          <m:rPr>
            <m:sty m:val="p"/>
          </m:rPr>
          <m:t>+</m:t>
        </m:r>
        <m:r>
          <m:t>0.28</m:t>
        </m:r>
      </m:oMath>
      <w:r>
        <w:t xml:space="preserve"> </w:t>
      </w:r>
      <w:r>
        <w:t xml:space="preserve">(Table </w:t>
      </w:r>
      <w:hyperlink w:anchor="tab:main">
        <w:r>
          <w:rPr>
            <w:rStyle w:val="Hyperlink"/>
          </w:rPr>
          <w:t xml:space="preserve">6</w:t>
        </w:r>
      </w:hyperlink>
      <w:r>
        <w:t xml:space="preserve">), which</w:t>
      </w:r>
      <w:r>
        <w:t xml:space="preserve"> </w:t>
      </w:r>
      <w:r>
        <w:t xml:space="preserve">reverses their open-loop ranking. Multi-step stability is therefore a better selection</w:t>
      </w:r>
      <w:r>
        <w:t xml:space="preserve"> </w:t>
      </w:r>
      <w:r>
        <w:t xml:space="preserve">criterion than one-step accuracy and picks the best of the three libraries, although it</w:t>
      </w:r>
      <w:r>
        <w:t xml:space="preserve"> </w:t>
      </w:r>
      <w:r>
        <w:t xml:space="preserve">does not rank them.</w:t>
      </w:r>
    </w:p>
    <w:p>
      <w:pPr>
        <w:pStyle w:val="MDPI31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optimisers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These</w:t>
      </w:r>
      <w:r>
        <w:t xml:space="preserve"> </w:t>
      </w:r>
      <w:r>
        <w:t xml:space="preserve">figures indicate that the raw library is stable irrespective of evaluation year, whereas</w:t>
      </w:r>
      <w:r>
        <w:t xml:space="preserve"> </w:t>
      </w:r>
      <w:r>
        <w:t xml:space="preserve">the physics libraries are strongly year-dependent.</w:t>
      </w:r>
    </w:p>
    <w:bookmarkStart w:id="39" w:name="tab:ladder"/>
    <w:p>
      <w:pPr>
        <w:pStyle w:val="MDPI41tablecaption"/>
      </w:pPr>
      <w:r>
        <w:rPr>
          <w:b/>
        </w:rPr>
        <w:t xml:space="preserve">Table 4. </w:t>
      </w:r>
      <w:r>
        <w:t xml:space="preserve">Identification ladder, degree-1 configurations without denoising. Upper panel</w:t>
      </w:r>
      <w:r>
        <w:t xml:space="preserve"> </w:t>
      </w:r>
      <w:r>
        <w:t xml:space="preserve">pools the four optimiser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MDPI41threelinetable"/>
        <w:tblW w:type="auto" w:w="0"/>
        <w:tblLook w:firstRow="0" w:lastRow="0" w:firstColumn="0" w:lastColumn="0" w:noHBand="0" w:noVBand="0" w:val="0000"/>
        <w:tblCaption w:val="Identification ladder, degree-1 configurations without denoising. Upper panel pools the four optimis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Library</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Active</w:t>
            </w:r>
          </w:p>
        </w:tc>
        <w:tc>
          <w:tcPr>
            <w:vAlign w:val="center"/>
          </w:tcPr>
          <w:p>
            <w:pPr>
              <w:pStyle w:val="MDPI42tablebody"/>
              <w:suppressAutoHyphens/>
              <w:jc w:val="center"/>
            </w:pPr>
            <w:r>
              <w:t xml:space="preserve">One-step</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Diverged</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terms</w:t>
            </w:r>
          </w:p>
        </w:tc>
        <w:tc>
          <w:tcPr>
            <w:vAlign w:val="center"/>
          </w:tcPr>
          <w:p>
            <w:pPr>
              <w:pStyle w:val="MDPI42tablebody"/>
              <w:suppressAutoHyphens/>
              <w:jc w:val="center"/>
            </w:pPr>
            <w:r>
              <w:t xml:space="preserve">RMSE (</w:t>
            </w:r>
            <m:oMath>
              <m:sSup>
                <m:e>
                  <m:r>
                    <m:t>​</m:t>
                  </m:r>
                </m:e>
                <m:sup>
                  <m:r>
                    <m:rPr>
                      <m:sty m:val="p"/>
                    </m:rPr>
                    <m:t>∘</m:t>
                  </m:r>
                </m:sup>
              </m:sSup>
            </m:oMath>
            <w:r>
              <w:t xml:space="preserve">C)</w:t>
            </w:r>
          </w:p>
        </w:tc>
        <w:tc>
          <w:tcPr>
            <w:vAlign w:val="center"/>
          </w:tcPr>
          <w:p>
            <w:pPr>
              <w:pStyle w:val="MDPI42tablebody"/>
              <w:suppressAutoHyphens/>
              <w:jc w:val="center"/>
            </w:pPr>
            <w:r>
              <w:t xml:space="preserve">median (</w:t>
            </w:r>
            <m:oMath>
              <m:sSup>
                <m:e>
                  <m:r>
                    <m:t>​</m:t>
                  </m:r>
                </m:e>
                <m:sup>
                  <m:r>
                    <m:rPr>
                      <m:sty m:val="p"/>
                    </m:rPr>
                    <m:t>∘</m:t>
                  </m:r>
                </m:sup>
              </m:sSup>
            </m:oMath>
            <w:r>
              <w:t xml:space="preserve">C)</w:t>
            </w:r>
          </w:p>
        </w:tc>
        <w:tc>
          <w:tcPr>
            <w:vAlign w:val="center"/>
          </w:tcPr>
          <w:p>
            <w:pPr>
              <w:pStyle w:val="MDPI42tablebody"/>
              <w:suppressAutoHyphens/>
              <w:jc w:val="center"/>
            </w:pPr>
            <w:r>
              <w:t xml:space="preserve">IQR</w:t>
            </w:r>
          </w:p>
        </w:tc>
        <w:tc>
          <w:tcPr>
            <w:vAlign w:val="center"/>
          </w:tcPr>
          <w:p>
            <w:pPr>
              <w:pStyle w:val="MDPI42tablebody"/>
              <w:suppressAutoHyphens/>
              <w:jc w:val="center"/>
            </w:pPr>
            <w:r>
              <w:t xml:space="preserve">fraction</w:t>
            </w:r>
          </w:p>
        </w:tc>
      </w:tr>
      <w:tr>
        <w:tc>
          <w:tcPr>
            <w:gridSpan w:val="7"/>
            <w:vAlign w:val="center"/>
          </w:tcPr>
          <w:p>
            <w:pPr>
              <w:pStyle w:val="MDPI42tablebody"/>
              <w:keepNext/>
              <w:suppressAutoHyphens/>
              <w:spacing w:before="60"/>
              <w:jc w:val="left"/>
            </w:pPr>
            <w:r>
              <w:rPr>
                <w:i/>
                <w:iCs/>
              </w:rPr>
              <w:t xml:space="preserve">All four optimiser labels</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m:oMath>
              <m:r>
                <m:t>8.21</m:t>
              </m:r>
              <m:r>
                <m:rPr>
                  <m:sty m:val="p"/>
                </m:rPr>
                <m:t>±</m:t>
              </m:r>
              <m:r>
                <m:t>0.22</m:t>
              </m:r>
            </m:oMath>
            <w:r>
              <w:t xml:space="preserve">​</w:t>
            </w:r>
          </w:p>
        </w:tc>
        <w:tc>
          <w:tcPr>
            <w:vAlign w:val="center"/>
          </w:tcPr>
          <w:p>
            <w:pPr>
              <w:pStyle w:val="MDPI42tablebody"/>
              <w:suppressAutoHyphens/>
              <w:jc w:val="center"/>
            </w:pPr>
            <w:r>
              <w:t xml:space="preserve">12.95</w:t>
            </w:r>
          </w:p>
        </w:tc>
        <w:tc>
          <w:tcPr>
            <w:vAlign w:val="center"/>
          </w:tcPr>
          <w:p>
            <w:pPr>
              <w:pStyle w:val="MDPI42tablebody"/>
              <w:suppressAutoHyphens/>
              <w:jc w:val="center"/>
            </w:pPr>
            <w:r>
              <w:t xml:space="preserve">2.137</w:t>
            </w:r>
          </w:p>
        </w:tc>
        <w:tc>
          <w:tcPr>
            <w:vAlign w:val="center"/>
          </w:tcPr>
          <w:p>
            <w:pPr>
              <w:pStyle w:val="MDPI42tablebody"/>
              <w:suppressAutoHyphens/>
              <w:jc w:val="center"/>
            </w:pPr>
            <w:r>
              <w:t xml:space="preserve">3.31</w:t>
            </w:r>
          </w:p>
        </w:tc>
        <w:tc>
          <w:tcPr>
            <w:vAlign w:val="center"/>
          </w:tcPr>
          <w:p>
            <w:pPr>
              <w:pStyle w:val="MDPI42tablebody"/>
              <w:suppressAutoHyphens/>
              <w:jc w:val="center"/>
            </w:pPr>
            <w:r>
              <w:t xml:space="preserve">[2.67, 4.43]</w:t>
            </w:r>
          </w:p>
        </w:tc>
        <w:tc>
          <w:tcPr>
            <w:vAlign w:val="center"/>
          </w:tcPr>
          <w:p>
            <w:pPr>
              <w:pStyle w:val="MDPI42tablebody"/>
              <w:suppressAutoHyphens/>
              <w:jc w:val="center"/>
            </w:pPr>
            <w:r>
              <w:t xml:space="preserve">0.000</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m:oMath>
              <m:r>
                <m:t>24.52</m:t>
              </m:r>
              <m:r>
                <m:rPr>
                  <m:sty m:val="p"/>
                </m:rPr>
                <m:t>±</m:t>
              </m:r>
              <m:r>
                <m:t>0.94</m:t>
              </m:r>
            </m:oMath>
            <w:r>
              <w:t xml:space="preserve">​</w:t>
            </w:r>
          </w:p>
        </w:tc>
        <w:tc>
          <w:tcPr>
            <w:vAlign w:val="center"/>
          </w:tcPr>
          <w:p>
            <w:pPr>
              <w:pStyle w:val="MDPI42tablebody"/>
              <w:suppressAutoHyphens/>
              <w:jc w:val="center"/>
            </w:pPr>
            <w:r>
              <w:t xml:space="preserve">18.66</w:t>
            </w:r>
          </w:p>
        </w:tc>
        <w:tc>
          <w:tcPr>
            <w:vAlign w:val="center"/>
          </w:tcPr>
          <w:p>
            <w:pPr>
              <w:pStyle w:val="MDPI42tablebody"/>
              <w:suppressAutoHyphens/>
              <w:jc w:val="center"/>
            </w:pPr>
            <w:r>
              <w:t xml:space="preserve">2.174</w:t>
            </w:r>
          </w:p>
        </w:tc>
        <w:tc>
          <w:tcPr>
            <w:vAlign w:val="center"/>
          </w:tcPr>
          <w:p>
            <w:pPr>
              <w:pStyle w:val="MDPI42tablebody"/>
              <w:suppressAutoHyphens/>
              <w:jc w:val="center"/>
            </w:pPr>
            <w:r>
              <w:t xml:space="preserve">7.11</w:t>
            </w:r>
          </w:p>
        </w:tc>
        <w:tc>
          <w:tcPr>
            <w:vAlign w:val="center"/>
          </w:tcPr>
          <w:p>
            <w:pPr>
              <w:pStyle w:val="MDPI42tablebody"/>
              <w:suppressAutoHyphens/>
              <w:jc w:val="center"/>
            </w:pPr>
            <w:r>
              <w:t xml:space="preserve">[4.24, 10.99]</w:t>
            </w:r>
          </w:p>
        </w:tc>
        <w:tc>
          <w:tcPr>
            <w:vAlign w:val="center"/>
          </w:tcPr>
          <w:p>
            <w:pPr>
              <w:pStyle w:val="MDPI42tablebody"/>
              <w:suppressAutoHyphens/>
              <w:jc w:val="center"/>
            </w:pPr>
            <w:r>
              <w:t xml:space="preserve">0.011</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m:oMath>
              <m:r>
                <m:t>53.43</m:t>
              </m:r>
              <m:r>
                <m:rPr>
                  <m:sty m:val="p"/>
                </m:rPr>
                <m:t>±</m:t>
              </m:r>
              <m:r>
                <m:t>2.40</m:t>
              </m:r>
            </m:oMath>
            <w:r>
              <w:t xml:space="preserve">​</w:t>
            </w:r>
          </w:p>
        </w:tc>
        <w:tc>
          <w:tcPr>
            <w:vAlign w:val="center"/>
          </w:tcPr>
          <w:p>
            <w:pPr>
              <w:pStyle w:val="MDPI42tablebody"/>
              <w:suppressAutoHyphens/>
              <w:jc w:val="center"/>
            </w:pPr>
            <w:r>
              <w:t xml:space="preserve">26.74</w:t>
            </w:r>
          </w:p>
        </w:tc>
        <w:tc>
          <w:tcPr>
            <w:vAlign w:val="center"/>
          </w:tcPr>
          <w:p>
            <w:pPr>
              <w:pStyle w:val="MDPI42tablebody"/>
              <w:suppressAutoHyphens/>
              <w:jc w:val="center"/>
            </w:pPr>
            <w:r>
              <w:rPr>
                <w:b/>
                <w:bCs/>
              </w:rPr>
              <w:t xml:space="preserve">2.022</w:t>
            </w:r>
          </w:p>
        </w:tc>
        <w:tc>
          <w:tcPr>
            <w:vAlign w:val="center"/>
          </w:tcPr>
          <w:p>
            <w:pPr>
              <w:pStyle w:val="MDPI42tablebody"/>
              <w:suppressAutoHyphens/>
              <w:jc w:val="center"/>
            </w:pPr>
            <w:r>
              <w:rPr>
                <w:b/>
                <w:bCs/>
              </w:rPr>
              <w:t xml:space="preserve">30.84</w:t>
            </w:r>
          </w:p>
        </w:tc>
        <w:tc>
          <w:tcPr>
            <w:vAlign w:val="center"/>
          </w:tcPr>
          <w:p>
            <w:pPr>
              <w:pStyle w:val="MDPI42tablebody"/>
              <w:suppressAutoHyphens/>
              <w:jc w:val="center"/>
            </w:pPr>
            <w:r>
              <w:t xml:space="preserve">[24.08, 2360.14]</w:t>
            </w:r>
          </w:p>
        </w:tc>
        <w:tc>
          <w:tcPr>
            <w:vAlign w:val="center"/>
          </w:tcPr>
          <w:p>
            <w:pPr>
              <w:pStyle w:val="MDPI42tablebody"/>
              <w:suppressAutoHyphens/>
              <w:jc w:val="center"/>
            </w:pPr>
            <w:r>
              <w:t xml:space="preserve">0.130</w:t>
            </w:r>
          </w:p>
        </w:tc>
      </w:tr>
      <w:tr>
        <w:tc>
          <w:tcPr>
            <w:gridSpan w:val="7"/>
            <w:vAlign w:val="center"/>
          </w:tcPr>
          <w:p>
            <w:pPr>
              <w:pStyle w:val="MDPI42tablebody"/>
              <w:keepNext/>
              <w:suppressAutoHyphens/>
              <w:spacing w:before="60"/>
              <w:jc w:val="left"/>
            </w:pPr>
            <w:r>
              <w:rPr>
                <w:i/>
                <w:iCs/>
              </w:rPr>
              <w:t xml:space="preserve">Sparse estimators only (STLSQ, ensemble)</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20.05</w:t>
            </w:r>
          </w:p>
        </w:tc>
        <w:tc>
          <w:tcPr>
            <w:vAlign w:val="center"/>
          </w:tcPr>
          <w:p>
            <w:pPr>
              <w:pStyle w:val="MDPI42tablebody"/>
              <w:suppressAutoHyphens/>
              <w:jc w:val="center"/>
            </w:pPr>
            <w:r>
              <w:t xml:space="preserve">1.862</w:t>
            </w:r>
          </w:p>
        </w:tc>
        <w:tc>
          <w:tcPr>
            <w:vAlign w:val="center"/>
          </w:tcPr>
          <w:p>
            <w:pPr>
              <w:pStyle w:val="MDPI42tablebody"/>
              <w:suppressAutoHyphens/>
              <w:jc w:val="center"/>
            </w:pPr>
            <w:r>
              <w:t xml:space="preserve">2.67</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0.0000</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28.18</w:t>
            </w:r>
          </w:p>
        </w:tc>
        <w:tc>
          <w:tcPr>
            <w:vAlign w:val="center"/>
          </w:tcPr>
          <w:p>
            <w:pPr>
              <w:pStyle w:val="MDPI42tablebody"/>
              <w:suppressAutoHyphens/>
              <w:jc w:val="center"/>
            </w:pPr>
            <w:r>
              <w:t xml:space="preserve">1.728</w:t>
            </w:r>
          </w:p>
        </w:tc>
        <w:tc>
          <w:tcPr>
            <w:vAlign w:val="center"/>
          </w:tcPr>
          <w:p>
            <w:pPr>
              <w:pStyle w:val="MDPI42tablebody"/>
              <w:suppressAutoHyphens/>
              <w:jc w:val="center"/>
            </w:pPr>
            <w:r>
              <w:t xml:space="preserve">10.58</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0.0204</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36.98</w:t>
            </w:r>
          </w:p>
        </w:tc>
        <w:tc>
          <w:tcPr>
            <w:vAlign w:val="center"/>
          </w:tcPr>
          <w:p>
            <w:pPr>
              <w:pStyle w:val="MDPI42tablebody"/>
              <w:suppressAutoHyphens/>
              <w:jc w:val="center"/>
            </w:pPr>
            <w:r>
              <w:rPr>
                <w:b/>
                <w:bCs/>
              </w:rPr>
              <w:t xml:space="preserve">1.675</w:t>
            </w:r>
          </w:p>
        </w:tc>
        <w:tc>
          <w:tcPr>
            <w:vAlign w:val="center"/>
          </w:tcPr>
          <w:p>
            <w:pPr>
              <w:pStyle w:val="MDPI42tablebody"/>
              <w:suppressAutoHyphens/>
              <w:jc w:val="center"/>
            </w:pPr>
            <w:r>
              <w:rPr>
                <w:b/>
                <w:bCs/>
              </w:rPr>
              <w:t xml:space="preserve">24.27</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0.0758</w:t>
            </w:r>
          </w:p>
        </w:tc>
      </w:tr>
    </w:tbl>
    <w:bookmarkEnd w:id="39"/>
    <w:bookmarkStart w:id="43" w:name="fig:kappa"/>
    <w:p>
      <w:pPr>
        <w:pStyle w:val="MDPI52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MDPI51figurecaption"/>
      </w:pPr>
      <w:r>
        <w:rPr>
          <w:b/>
        </w:rPr>
        <w:t xml:space="preserve">Figure 1. </w:t>
      </w: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MDPI22heading2"/>
      </w:pPr>
      <w:r>
        <w:t xml:space="preserve">3.2. </w:t>
      </w:r>
      <w:r>
        <w:t xml:space="preserve">Tuning the rule-based reference</w:t>
      </w:r>
    </w:p>
    <w:p>
      <w:pPr>
        <w:pStyle w:val="MDPI31text"/>
      </w:pPr>
      <w:r>
        <w:t xml:space="preserve">The rule-based controller was tuned under the same 16-trial budget the</w:t>
      </w:r>
      <w:r>
        <w:t xml:space="preserve"> </w:t>
      </w:r>
      <w:r>
        <w:t xml:space="preserve">reinforcement-learning agents are recorded as having received (16 configurations drawn</w:t>
      </w:r>
      <w:r>
        <w:t xml:space="preserve"> </w:t>
      </w:r>
      <w:r>
        <w:t xml:space="preserve">i.i.d. from a fixed generator, evaluated alongside the hard-coded configuration entered as</w:t>
      </w:r>
      <w:r>
        <w:t xml:space="preserve"> </w:t>
      </w:r>
      <w:r>
        <w:t xml:space="preserve">trial 0, so 17 configurations were scored in all),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MDPI31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and it raises constraint pressure (</w:t>
      </w:r>
      <m:oMath>
        <m:r>
          <m:t>2813</m:t>
        </m:r>
        <m:r>
          <m:rPr>
            <m:sty m:val="p"/>
          </m:rPr>
          <m:t>→</m:t>
        </m:r>
        <m:r>
          <m:t>4339</m:t>
        </m:r>
      </m:oMath>
      <w:r>
        <w:t xml:space="preserve"> </w:t>
      </w:r>
      <w:r>
        <w:t xml:space="preserve">violation steps per season). Only 2 of the 16 random draws beat the hard-coded setpoints</w:t>
      </w:r>
      <w:r>
        <w:t xml:space="preserve"> </w:t>
      </w:r>
      <w:r>
        <w:t xml:space="preserve">on the training score, which places the stock configuration at roughly the 88th percentile</w:t>
      </w:r>
      <w:r>
        <w:t xml:space="preserve"> </w:t>
      </w:r>
      <w:r>
        <w:t xml:space="preserve">of the search space, so the stock setpoints were reasonable but had never been searched.</w:t>
      </w:r>
      <w:r>
        <w:t xml:space="preserve"> </w:t>
      </w:r>
      <w:r>
        <w:t xml:space="preserve">The heuristic is also deterministic (</w:t>
      </w:r>
      <m:oMath>
        <m:r>
          <m:t>n</m:t>
        </m:r>
        <m:r>
          <m:rPr>
            <m:sty m:val="p"/>
          </m:rPr>
          <m:t>=</m:t>
        </m:r>
        <m:r>
          <m:t>4</m:t>
        </m:r>
      </m:oMath>
      <w:r>
        <w:t xml:space="preserve">, no run-to-run dispersion), so the comparison</w:t>
      </w:r>
      <w:r>
        <w:t xml:space="preserve"> </w:t>
      </w:r>
      <w:r>
        <w:t xml:space="preserve">against it is a one-sample test against a constant (Section </w:t>
      </w:r>
      <w:hyperlink w:anchor="sec:stats">
        <w:r>
          <w:rPr>
            <w:rStyle w:val="Hyperlink"/>
          </w:rPr>
          <w:t xml:space="preserve">2.8</w:t>
        </w:r>
      </w:hyperlink>
      <w:r>
        <w:t xml:space="preserve">).</w:t>
      </w:r>
    </w:p>
    <w:bookmarkStart w:id="45" w:name="tab:tune"/>
    <w:p>
      <w:pPr>
        <w:pStyle w:val="MDPI41tablecaption"/>
      </w:pPr>
      <w:r>
        <w:rPr>
          <w:b/>
        </w:rPr>
        <w:t xml:space="preserve">Table 5. </w:t>
      </w: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vAlign w:val="center"/>
          </w:tcPr>
          <w:p>
            <w:pPr>
              <w:pStyle w:val="MDPI42tablebody"/>
              <w:suppressAutoHyphens/>
              <w:jc w:val="center"/>
            </w:pPr>
            <w:r>
              <w:t xml:space="preserve">Setpoint</w:t>
            </w:r>
          </w:p>
        </w:tc>
        <w:tc>
          <w:tcPr>
            <w:vAlign w:val="center"/>
          </w:tcPr>
          <w:p>
            <w:pPr>
              <w:pStyle w:val="MDPI42tablebody"/>
              <w:suppressAutoHyphens/>
              <w:jc w:val="center"/>
            </w:pPr>
            <w:r>
              <w:t xml:space="preserve">Range searched</w:t>
            </w:r>
          </w:p>
        </w:tc>
        <w:tc>
          <w:tcPr>
            <w:vAlign w:val="center"/>
          </w:tcPr>
          <w:p>
            <w:pPr>
              <w:pStyle w:val="MDPI42tablebody"/>
              <w:suppressAutoHyphens/>
              <w:jc w:val="center"/>
            </w:pPr>
            <w:r>
              <w:t xml:space="preserve">Hard-coded</w:t>
            </w:r>
          </w:p>
        </w:tc>
        <w:tc>
          <w:tcPr>
            <w:vAlign w:val="center"/>
          </w:tcPr>
          <w:p>
            <w:pPr>
              <w:pStyle w:val="MDPI42tablebody"/>
              <w:suppressAutoHyphens/>
              <w:jc w:val="center"/>
            </w:pPr>
            <w:r>
              <w:t xml:space="preserve">Selected</w:t>
            </w:r>
          </w:p>
        </w:tc>
      </w:tr>
      <w:tr>
        <w:tc>
          <w:tcPr>
            <w:vAlign w:val="center"/>
          </w:tcPr>
          <w:p>
            <w:pPr>
              <w:pStyle w:val="MDPI42tablebody"/>
              <w:suppressAutoHyphens/>
              <w:jc w:val="center"/>
            </w:pPr>
            <w:r>
              <w:t xml:space="preserve">Day temperature (</w:t>
            </w:r>
            <m:oMath>
              <m:sSup>
                <m:e>
                  <m:r>
                    <m:t>​</m:t>
                  </m:r>
                </m:e>
                <m:sup>
                  <m:r>
                    <m:rPr>
                      <m:sty m:val="p"/>
                    </m:rPr>
                    <m:t>∘</m:t>
                  </m:r>
                </m:sup>
              </m:sSup>
            </m:oMath>
            <w:r>
              <w:t xml:space="preserve">C)</w:t>
            </w:r>
          </w:p>
        </w:tc>
        <w:tc>
          <w:tcPr>
            <w:vAlign w:val="center"/>
          </w:tcPr>
          <w:p>
            <w:pPr>
              <w:pStyle w:val="MDPI42tablebody"/>
              <w:suppressAutoHyphens/>
              <w:jc w:val="center"/>
            </w:pPr>
            <w:r>
              <w:t xml:space="preserve">17.0–23.0</w:t>
            </w:r>
          </w:p>
        </w:tc>
        <w:tc>
          <w:tcPr>
            <w:vAlign w:val="center"/>
          </w:tcPr>
          <w:p>
            <w:pPr>
              <w:pStyle w:val="MDPI42tablebody"/>
              <w:suppressAutoHyphens/>
              <w:jc w:val="center"/>
            </w:pPr>
            <w:r>
              <w:t xml:space="preserve">19.5</w:t>
            </w:r>
          </w:p>
        </w:tc>
        <w:tc>
          <w:tcPr>
            <w:vAlign w:val="center"/>
          </w:tcPr>
          <w:p>
            <w:pPr>
              <w:pStyle w:val="MDPI42tablebody"/>
              <w:suppressAutoHyphens/>
              <w:jc w:val="center"/>
            </w:pPr>
            <w:r>
              <w:t xml:space="preserve">22.92</w:t>
            </w:r>
          </w:p>
        </w:tc>
      </w:tr>
      <w:tr>
        <w:tc>
          <w:tcPr>
            <w:vAlign w:val="center"/>
          </w:tcPr>
          <w:p>
            <w:pPr>
              <w:pStyle w:val="MDPI42tablebody"/>
              <w:suppressAutoHyphens/>
              <w:jc w:val="center"/>
            </w:pPr>
            <w:r>
              <w:t xml:space="preserve">Night temperature (</w:t>
            </w:r>
            <m:oMath>
              <m:sSup>
                <m:e>
                  <m:r>
                    <m:t>​</m:t>
                  </m:r>
                </m:e>
                <m:sup>
                  <m:r>
                    <m:rPr>
                      <m:sty m:val="p"/>
                    </m:rPr>
                    <m:t>∘</m:t>
                  </m:r>
                </m:sup>
              </m:sSup>
            </m:oMath>
            <w:r>
              <w:t xml:space="preserve">C)</w:t>
            </w:r>
          </w:p>
        </w:tc>
        <w:tc>
          <w:tcPr>
            <w:vAlign w:val="center"/>
          </w:tcPr>
          <w:p>
            <w:pPr>
              <w:pStyle w:val="MDPI42tablebody"/>
              <w:suppressAutoHyphens/>
              <w:jc w:val="center"/>
            </w:pPr>
            <w:r>
              <w:t xml:space="preserve">14.0–20.0</w:t>
            </w:r>
          </w:p>
        </w:tc>
        <w:tc>
          <w:tcPr>
            <w:vAlign w:val="center"/>
          </w:tcPr>
          <w:p>
            <w:pPr>
              <w:pStyle w:val="MDPI42tablebody"/>
              <w:suppressAutoHyphens/>
              <w:jc w:val="center"/>
            </w:pPr>
            <w:r>
              <w:t xml:space="preserve">16.5</w:t>
            </w:r>
          </w:p>
        </w:tc>
        <w:tc>
          <w:tcPr>
            <w:vAlign w:val="center"/>
          </w:tcPr>
          <w:p>
            <w:pPr>
              <w:pStyle w:val="MDPI42tablebody"/>
              <w:suppressAutoHyphens/>
              <w:jc w:val="center"/>
            </w:pPr>
            <w:r>
              <w:t xml:space="preserve">14.38</w:t>
            </w:r>
          </w:p>
        </w:tc>
      </w:tr>
      <w:tr>
        <w:tc>
          <w:tcPr>
            <w:vAlign w:val="center"/>
          </w:tcPr>
          <w:p>
            <w:pPr>
              <w:pStyle w:val="MDPI42tablebody"/>
              <w:suppressAutoHyphens/>
              <w:jc w:val="center"/>
            </w:pPr>
            <w:r>
              <w:t xml:space="preserve">Daytime CO</w:t>
            </w:r>
            <m:oMath>
              <m:sSub>
                <m:e>
                  <m:r>
                    <m:t>​</m:t>
                  </m:r>
                </m:e>
                <m:sub>
                  <m:r>
                    <m:t>2</m:t>
                  </m:r>
                </m:sub>
              </m:sSub>
            </m:oMath>
            <w:r>
              <w:t xml:space="preserve"> </w:t>
            </w:r>
            <w:r>
              <w:t xml:space="preserve">(ppm)</w:t>
            </w:r>
          </w:p>
        </w:tc>
        <w:tc>
          <w:tcPr>
            <w:vAlign w:val="center"/>
          </w:tcPr>
          <w:p>
            <w:pPr>
              <w:pStyle w:val="MDPI42tablebody"/>
              <w:suppressAutoHyphens/>
              <w:jc w:val="center"/>
            </w:pPr>
            <w:r>
              <w:t xml:space="preserve">400–1200</w:t>
            </w:r>
          </w:p>
        </w:tc>
        <w:tc>
          <w:tcPr>
            <w:vAlign w:val="center"/>
          </w:tcPr>
          <w:p>
            <w:pPr>
              <w:pStyle w:val="MDPI42tablebody"/>
              <w:suppressAutoHyphens/>
              <w:jc w:val="center"/>
            </w:pPr>
            <w:r>
              <w:t xml:space="preserve">800</w:t>
            </w:r>
          </w:p>
        </w:tc>
        <w:tc>
          <w:tcPr>
            <w:vAlign w:val="center"/>
          </w:tcPr>
          <w:p>
            <w:pPr>
              <w:pStyle w:val="MDPI42tablebody"/>
              <w:suppressAutoHyphens/>
              <w:jc w:val="center"/>
            </w:pPr>
            <w:r>
              <w:t xml:space="preserve">828.3</w:t>
            </w:r>
          </w:p>
        </w:tc>
      </w:tr>
      <w:tr>
        <w:tc>
          <w:tcPr>
            <w:vAlign w:val="center"/>
          </w:tcPr>
          <w:p>
            <w:pPr>
              <w:pStyle w:val="MDPI42tablebody"/>
              <w:suppressAutoHyphens/>
              <w:jc w:val="center"/>
            </w:pPr>
            <w:r>
              <w:t xml:space="preserve">Lamp radiation-sum limit</w:t>
            </w:r>
          </w:p>
        </w:tc>
        <w:tc>
          <w:tcPr>
            <w:vAlign w:val="center"/>
          </w:tcPr>
          <w:p>
            <w:pPr>
              <w:pStyle w:val="MDPI42tablebody"/>
              <w:suppressAutoHyphens/>
              <w:jc w:val="center"/>
            </w:pPr>
            <w:r>
              <w:t xml:space="preserve">5.0–25.0</w:t>
            </w:r>
          </w:p>
        </w:tc>
        <w:tc>
          <w:tcPr>
            <w:vAlign w:val="center"/>
          </w:tcPr>
          <w:p>
            <w:pPr>
              <w:pStyle w:val="MDPI42tablebody"/>
              <w:suppressAutoHyphens/>
              <w:jc w:val="center"/>
            </w:pPr>
            <w:r>
              <w:t xml:space="preserve">10</w:t>
            </w:r>
          </w:p>
        </w:tc>
        <w:tc>
          <w:tcPr>
            <w:vAlign w:val="center"/>
          </w:tcPr>
          <w:p>
            <w:pPr>
              <w:pStyle w:val="MDPI42tablebody"/>
              <w:suppressAutoHyphens/>
              <w:jc w:val="center"/>
            </w:pPr>
            <w:r>
              <w:t xml:space="preserve">7.62</w:t>
            </w:r>
          </w:p>
        </w:tc>
      </w:tr>
      <w:tr>
        <w:tc>
          <w:tcPr>
            <w:vAlign w:val="center"/>
          </w:tcPr>
          <w:p>
            <w:pPr>
              <w:pStyle w:val="MDPI42tablebody"/>
              <w:suppressAutoHyphens/>
              <w:jc w:val="center"/>
            </w:pPr>
            <w:r>
              <w:t xml:space="preserve">Test season</w:t>
            </w:r>
          </w:p>
        </w:tc>
        <w:tc>
          <w:tcPr>
            <w:vAlign w:val="center"/>
          </w:tcPr>
          <w:p>
            <w:pPr>
              <w:pStyle w:val="MDPI42tablebody"/>
              <w:suppressAutoHyphens/>
              <w:jc w:val="center"/>
            </w:pPr>
            <w:r>
              <w:t xml:space="preserve">2020</w:t>
            </w:r>
          </w:p>
        </w:tc>
        <w:tc>
          <w:tcPr>
            <w:vAlign w:val="center"/>
          </w:tcPr>
          <w:p>
            <w:pPr>
              <w:pStyle w:val="MDPI42tablebody"/>
              <w:suppressAutoHyphens/>
              <w:jc w:val="center"/>
            </w:pPr>
            <w:r>
              <w:t xml:space="preserve">2022</w:t>
            </w:r>
          </w:p>
        </w:tc>
        <w:tc>
          <w:tcPr>
            <w:vAlign w:val="center"/>
          </w:tcPr>
          <w:p>
            <w:pPr>
              <w:pStyle w:val="MDPI42tablebody"/>
              <w:suppressAutoHyphens/>
              <w:jc w:val="center"/>
            </w:pPr>
            <w:r>
              <w:t xml:space="preserve">Mean Violations</w:t>
            </w:r>
          </w:p>
        </w:tc>
      </w:tr>
      <w:tr>
        <w:tc>
          <w:tcPr>
            <w:vAlign w:val="center"/>
          </w:tcPr>
          <w:p>
            <w:pPr>
              <w:pStyle w:val="MDPI42tablebody"/>
              <w:suppressAutoHyphens/>
              <w:jc w:val="center"/>
            </w:pPr>
            <w:r>
              <w:t xml:space="preserve">Hard-coded</w:t>
            </w:r>
          </w:p>
        </w:tc>
        <w:tc>
          <w:tcPr>
            <w:vAlign w:val="center"/>
          </w:tcPr>
          <w:p>
            <w:pPr>
              <w:pStyle w:val="MDPI42tablebody"/>
              <w:suppressAutoHyphens/>
              <w:jc w:val="center"/>
            </w:pPr>
            <m:oMath>
              <m:r>
                <m:rPr>
                  <m:sty m:val="p"/>
                </m:rPr>
                <m:t>+</m:t>
              </m:r>
              <m:r>
                <m:t>4.63</m:t>
              </m:r>
            </m:oMath>
            <w:r>
              <w:t xml:space="preserve"> </w:t>
            </w:r>
            <m:oMath>
              <m:r>
                <m:rPr>
                  <m:sty m:val="p"/>
                </m:rPr>
                <m:t>−</m:t>
              </m:r>
              <m:r>
                <m:t>6.98</m:t>
              </m:r>
            </m:oMath>
          </w:p>
        </w:tc>
        <w:tc>
          <w:tcPr>
            <w:vAlign w:val="center"/>
          </w:tcPr>
          <w:p>
            <w:pPr>
              <w:pStyle w:val="MDPI42tablebody"/>
              <w:suppressAutoHyphens/>
              <w:jc w:val="center"/>
            </w:pPr>
            <m:oMath>
              <m:r>
                <m:rPr>
                  <m:sty m:val="p"/>
                </m:rPr>
                <m:t>+</m:t>
              </m:r>
              <m:r>
                <m:t>1.30</m:t>
              </m:r>
            </m:oMath>
            <w:r>
              <w:t xml:space="preserve"> </w:t>
            </w:r>
            <m:oMath>
              <m:r>
                <m:rPr>
                  <m:sty m:val="p"/>
                </m:rPr>
                <m:t>−</m:t>
              </m:r>
              <m:r>
                <m:t>3.85</m:t>
              </m:r>
            </m:oMath>
          </w:p>
        </w:tc>
        <w:tc>
          <w:tcPr>
            <w:vAlign w:val="center"/>
          </w:tcPr>
          <w:p>
            <w:pPr>
              <w:pStyle w:val="MDPI42tablebody"/>
              <w:suppressAutoHyphens/>
              <w:jc w:val="center"/>
            </w:pPr>
            <m:oMath>
              <m:r>
                <m:rPr>
                  <m:sty m:val="p"/>
                </m:rPr>
                <m:t>−</m:t>
              </m:r>
              <m:r>
                <m:t>1.23</m:t>
              </m:r>
            </m:oMath>
            <w:r>
              <w:t xml:space="preserve">​</w:t>
            </w:r>
          </w:p>
        </w:tc>
      </w:tr>
      <w:tr>
        <w:tc>
          <w:tcPr>
            <w:vAlign w:val="center"/>
          </w:tcPr>
          <w:p>
            <w:pPr>
              <w:pStyle w:val="MDPI42tablebody"/>
              <w:suppressAutoHyphens/>
              <w:jc w:val="center"/>
            </w:pPr>
            <w:r>
              <w:t xml:space="preserve">Tuned</w:t>
            </w:r>
          </w:p>
        </w:tc>
        <w:tc>
          <w:tcPr>
            <w:vAlign w:val="center"/>
          </w:tcPr>
          <w:p>
            <w:pPr>
              <w:pStyle w:val="MDPI42tablebody"/>
              <w:suppressAutoHyphens/>
              <w:jc w:val="center"/>
            </w:pPr>
            <m:oMath>
              <m:r>
                <m:rPr>
                  <m:sty m:val="p"/>
                </m:rPr>
                <m:t>+</m:t>
              </m:r>
              <m:r>
                <m:t>6.29</m:t>
              </m:r>
            </m:oMath>
            <w:r>
              <w:t xml:space="preserve"> </w:t>
            </w:r>
            <m:oMath>
              <m:r>
                <m:rPr>
                  <m:sty m:val="p"/>
                </m:rPr>
                <m:t>−</m:t>
              </m:r>
              <m:r>
                <m:t>1.99</m:t>
              </m:r>
            </m:oMath>
          </w:p>
        </w:tc>
        <w:tc>
          <w:tcPr>
            <w:vAlign w:val="center"/>
          </w:tcPr>
          <w:p>
            <w:pPr>
              <w:pStyle w:val="MDPI42tablebody"/>
              <w:suppressAutoHyphens/>
              <w:jc w:val="center"/>
            </w:pPr>
            <m:oMath>
              <m:r>
                <m:rPr>
                  <m:sty m:val="p"/>
                </m:rPr>
                <m:t>+</m:t>
              </m:r>
              <m:r>
                <m:t>2.81</m:t>
              </m:r>
            </m:oMath>
            <w:r>
              <w:t xml:space="preserve"> </w:t>
            </w:r>
            <m:oMath>
              <m:r>
                <m:rPr>
                  <m:sty m:val="p"/>
                </m:rPr>
                <m:t>+</m:t>
              </m:r>
              <m:r>
                <m:t>1.94</m:t>
              </m:r>
            </m:oMath>
          </w:p>
        </w:tc>
        <w:tc>
          <w:tcPr>
            <w:vAlign w:val="center"/>
          </w:tcPr>
          <w:p>
            <w:pPr>
              <w:pStyle w:val="MDPI42tablebody"/>
              <w:suppressAutoHyphens/>
              <w:jc w:val="center"/>
            </w:pPr>
            <m:oMath>
              <m:r>
                <m:rPr>
                  <m:sty m:val="b"/>
                </m:rPr>
                <m:t>+</m:t>
              </m:r>
              <m:r>
                <m:rPr>
                  <m:sty m:val="b"/>
                </m:rPr>
                <m:t>2.26</m:t>
              </m:r>
            </m:oMath>
            <w:r>
              <w:t xml:space="preserve">​</w:t>
            </w:r>
          </w:p>
        </w:tc>
      </w:tr>
      <w:tr>
        <w:tc>
          <w:tcPr>
            <w:vAlign w:val="center"/>
          </w:tcPr>
          <w:p>
            <w:pPr>
              <w:pStyle w:val="MDPI42tablebody"/>
              <w:suppressAutoHyphens/>
              <w:jc w:val="center"/>
            </w:pPr>
            <w:r>
              <w:t xml:space="preserve">Gain</w:t>
            </w:r>
          </w:p>
        </w:tc>
        <w:tc>
          <w:tcPr>
            <w:vAlign w:val="center"/>
          </w:tcPr>
          <w:p>
            <w:pPr>
              <w:pStyle w:val="MDPI42tablebody"/>
              <w:suppressAutoHyphens/>
              <w:jc w:val="center"/>
            </w:pPr>
            <m:oMath>
              <m:r>
                <m:rPr>
                  <m:sty m:val="p"/>
                </m:rPr>
                <m:t>+</m:t>
              </m:r>
              <m:r>
                <m:t>1.66</m:t>
              </m:r>
            </m:oMath>
            <w:r>
              <w:t xml:space="preserve"> </w:t>
            </w:r>
            <m:oMath>
              <m:r>
                <m:rPr>
                  <m:sty m:val="p"/>
                </m:rPr>
                <m:t>+</m:t>
              </m:r>
              <m:r>
                <m:t>4.99</m:t>
              </m:r>
            </m:oMath>
          </w:p>
        </w:tc>
        <w:tc>
          <w:tcPr>
            <w:vAlign w:val="center"/>
          </w:tcPr>
          <w:p>
            <w:pPr>
              <w:pStyle w:val="MDPI42tablebody"/>
              <w:suppressAutoHyphens/>
              <w:jc w:val="center"/>
            </w:pPr>
            <m:oMath>
              <m:r>
                <m:rPr>
                  <m:sty m:val="p"/>
                </m:rPr>
                <m:t>+</m:t>
              </m:r>
              <m:r>
                <m:t>1.50</m:t>
              </m:r>
            </m:oMath>
            <w:r>
              <w:t xml:space="preserve"> </w:t>
            </w:r>
            <m:oMath>
              <m:r>
                <m:rPr>
                  <m:sty m:val="p"/>
                </m:rPr>
                <m:t>+</m:t>
              </m:r>
              <m:r>
                <m:t>5.79</m:t>
              </m:r>
            </m:oMath>
          </w:p>
        </w:tc>
        <w:tc>
          <w:tcPr>
            <w:vAlign w:val="center"/>
          </w:tcPr>
          <w:p>
            <w:pPr>
              <w:pStyle w:val="MDPI42tablebody"/>
              <w:suppressAutoHyphens/>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MDPI22heading2"/>
      </w:pPr>
      <w:r>
        <w:t xml:space="preserve">3.3. </w:t>
      </w:r>
      <w:r>
        <w:t xml:space="preserve">Simulation-based four-season economic comparison</w:t>
      </w:r>
    </w:p>
    <w:p>
      <w:pPr>
        <w:pStyle w:val="MDPI31text"/>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15,</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default stage cost.</w:t>
      </w:r>
    </w:p>
    <w:p>
      <w:pPr>
        <w:pStyle w:val="MDPI31text"/>
      </w:pPr>
      <w:r>
        <w:t xml:space="preserve">The raw-library SINDy-MPC leads with an ensemble optimiser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with</w:t>
      </w:r>
      <w:r>
        <w:t xml:space="preserve"> </w:t>
      </w:r>
      <w:r>
        <w:t xml:space="preserve">degree, denoiser, optimiser and threshold unchanged.</w:t>
      </w:r>
    </w:p>
    <w:p>
      <w:pPr>
        <w:pStyle w:val="MDPI31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15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adds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MDPI31text"/>
      </w:pPr>
      <w:r>
        <w:t xml:space="preserve">The headline contrast, the raw-library ensemble against the best physics-informed</w:t>
      </w:r>
      <w:r>
        <w:t xml:space="preserve"> </w:t>
      </w:r>
      <w:r>
        <w:t xml:space="preserve">variant, is paired on (seed, season): mean</w:t>
      </w:r>
      <w:r>
        <w:t xml:space="preserve"> </w:t>
      </w:r>
      <m:oMath>
        <m:r>
          <m:rPr>
            <m:sty m:val="p"/>
          </m:rPr>
          <m:t>+</m:t>
        </m:r>
        <m:r>
          <m:t>1.23</m:t>
        </m:r>
      </m:oMath>
      <w:r>
        <w:t xml:space="preserve">, median</w:t>
      </w:r>
      <w:r>
        <w:t xml:space="preserve"> </w:t>
      </w:r>
      <m:oMath>
        <m:r>
          <m:rPr>
            <m:sty m:val="p"/>
          </m:rPr>
          <m:t>+</m:t>
        </m:r>
        <m:r>
          <m:t>1.58</m:t>
        </m:r>
      </m:oMath>
      <w:r>
        <w:t xml:space="preserve"> EUR m</w:t>
      </w:r>
      <m:oMath>
        <m:sSup>
          <m:e>
            <m:r>
              <m:t>​</m:t>
            </m:r>
          </m:e>
          <m:sup>
            <m:r>
              <m:rPr>
                <m:sty m:val="p"/>
              </m:rPr>
              <m:t>−</m:t>
            </m:r>
            <m:r>
              <m:t>2</m:t>
            </m:r>
          </m:sup>
        </m:sSup>
      </m:oMath>
      <w:r>
        <w:t xml:space="preserve">, ahead in</w:t>
      </w:r>
      <w:r>
        <w:t xml:space="preserve"> </w:t>
      </w:r>
      <w:r>
        <w:t xml:space="preserve">62 of 80 pairs (</w:t>
      </w:r>
      <m:oMath>
        <m:sSub>
          <m:e>
            <m:r>
              <m:t>p</m:t>
            </m:r>
          </m:e>
          <m:sub>
            <m:r>
              <m:rPr>
                <m:sty m:val="p"/>
              </m:rPr>
              <m:t>Holm</m:t>
            </m:r>
          </m:sub>
        </m:sSub>
        <m:r>
          <m:rPr>
            <m:sty m:val="p"/>
          </m:rPr>
          <m:t>=</m:t>
        </m:r>
        <m:r>
          <m:t>7.7</m:t>
        </m:r>
        <m:r>
          <m:rPr>
            <m:sty m:val="p"/>
          </m:rPr>
          <m:t>×</m:t>
        </m:r>
        <m:sSup>
          <m:e>
            <m:r>
              <m:t>10</m:t>
            </m:r>
          </m:e>
          <m:sup>
            <m:r>
              <m:rPr>
                <m:sty m:val="p"/>
              </m:rPr>
              <m:t>−</m:t>
            </m:r>
            <m:r>
              <m:t>4</m:t>
            </m:r>
          </m:sup>
        </m:sSup>
      </m:oMath>
      <w:r>
        <w:t xml:space="preserve"> </w:t>
      </w:r>
      <w:r>
        <w:t xml:space="preserve">over the family of 15). It is not</w:t>
      </w:r>
      <w:r>
        <w:t xml:space="preserve"> </w:t>
      </w:r>
      <w:r>
        <w:t xml:space="preserve">uniform across seasons: the raw library leads in all 20 replicates in 2020 and 2023 and in</w:t>
      </w:r>
      <w:r>
        <w:t xml:space="preserve"> </w:t>
      </w:r>
      <w:r>
        <w:t xml:space="preserve">16 in 2022, but trails in 2021 (6 of 20,</w:t>
      </w:r>
      <w:r>
        <w:t xml:space="preserve"> </w:t>
      </w:r>
      <m:oMath>
        <m:r>
          <m:t>p</m:t>
        </m:r>
        <m:r>
          <m:rPr>
            <m:sty m:val="p"/>
          </m:rPr>
          <m:t>=</m:t>
        </m:r>
        <m:r>
          <m:t>2.3</m:t>
        </m:r>
        <m:r>
          <m:rPr>
            <m:sty m:val="p"/>
          </m:rPr>
          <m:t>×</m:t>
        </m:r>
        <m:sSup>
          <m:e>
            <m:r>
              <m:t>10</m:t>
            </m:r>
          </m:e>
          <m:sup>
            <m:r>
              <m:rPr>
                <m:sty m:val="p"/>
              </m:rPr>
              <m:t>−</m:t>
            </m:r>
            <m:r>
              <m:t>3</m:t>
            </m:r>
          </m:sup>
        </m:sSup>
      </m:oMath>
      <w:r>
        <w:t xml:space="preserve">). On per-seed four-season</w:t>
      </w:r>
      <w:r>
        <w:t xml:space="preserve"> </w:t>
      </w:r>
      <w:r>
        <w:t xml:space="preserve">means, the unit at which the identified surrogates are independent</w:t>
      </w:r>
      <w:r>
        <w:t xml:space="preserve"> </w:t>
      </w:r>
      <w:r>
        <w:t xml:space="preserve">(Section </w:t>
      </w:r>
      <w:hyperlink w:anchor="sec:stats">
        <w:r>
          <w:rPr>
            <w:rStyle w:val="Hyperlink"/>
          </w:rPr>
          <w:t xml:space="preserve">2.8</w:t>
        </w:r>
      </w:hyperlink>
      <w:r>
        <w:t xml:space="preserve">), it holds in 16 of 20 replicates (</w:t>
      </w:r>
      <m:oMath>
        <m:sSub>
          <m:e>
            <m:r>
              <m:t>p</m:t>
            </m:r>
          </m:e>
          <m:sub>
            <m:r>
              <m:rPr>
                <m:sty m:val="p"/>
              </m:rPr>
              <m:t>Holm</m:t>
            </m:r>
          </m:sub>
        </m:sSub>
        <m:r>
          <m:rPr>
            <m:sty m:val="p"/>
          </m:rPr>
          <m:t>=</m:t>
        </m:r>
        <m:r>
          <m:t>8.4</m:t>
        </m:r>
        <m:r>
          <m:rPr>
            <m:sty m:val="p"/>
          </m:rPr>
          <m:t>×</m:t>
        </m:r>
        <m:sSup>
          <m:e>
            <m:r>
              <m:t>10</m:t>
            </m:r>
          </m:e>
          <m:sup>
            <m:r>
              <m:rPr>
                <m:sty m:val="p"/>
              </m:rPr>
              <m:t>−</m:t>
            </m:r>
            <m:r>
              <m:t>3</m:t>
            </m:r>
          </m:sup>
        </m:sSup>
      </m:oMath>
      <w:r>
        <w:t xml:space="preserve">).</w:t>
      </w:r>
    </w:p>
    <w:p>
      <w:pPr>
        <w:pStyle w:val="MDPI31text"/>
      </w:pPr>
      <w:r>
        <w:t xml:space="preserve">Tests against the tuned reference (Table </w:t>
      </w:r>
      <w:hyperlink w:anchor="tab:wilcoxon">
        <w:r>
          <w:rPr>
            <w:rStyle w:val="Hyperlink"/>
          </w:rPr>
          <w:t xml:space="preserve">7</w:t>
        </w:r>
      </w:hyperlink>
      <w:r>
        <w:t xml:space="preserve">, Holm correction over a</w:t>
      </w:r>
      <w:r>
        <w:t xml:space="preserve"> </w:t>
      </w:r>
      <w:r>
        <w:t xml:space="preserve">declared family of 15 controllers) place four controllers</w:t>
      </w:r>
      <w:r>
        <w:t xml:space="preserve"> </w:t>
      </w:r>
      <w:r>
        <w:t xml:space="preserve">significantly above it at run level, all of them SINDy-MPC: both raw-library variants</w:t>
      </w:r>
      <w:r>
        <w:t xml:space="preserve"> </w:t>
      </w:r>
      <w:r>
        <w:t xml:space="preserve">(</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On per-seed means the count</w:t>
      </w:r>
      <w:r>
        <w:t xml:space="preserve"> </w:t>
      </w:r>
      <w:r>
        <w:t xml:space="preserve">falls to two: the raw-library variants remain separable (19 of 20 and 17 of 20 seeds,</w:t>
      </w:r>
      <w:r>
        <w:t xml:space="preserve"> </w:t>
      </w:r>
      <m:oMath>
        <m:sSub>
          <m:e>
            <m:r>
              <m:t>p</m:t>
            </m:r>
          </m:e>
          <m:sub>
            <m:r>
              <m:rPr>
                <m:sty m:val="p"/>
              </m:rPr>
              <m:t>Holm</m:t>
            </m:r>
          </m:sub>
        </m:sSub>
        <m:r>
          <m:rPr>
            <m:sty m:val="p"/>
          </m:rPr>
          <m:t>=</m:t>
        </m:r>
        <m:r>
          <m:t>7.4</m:t>
        </m:r>
        <m:r>
          <m:rPr>
            <m:sty m:val="p"/>
          </m:rPr>
          <m:t>×</m:t>
        </m:r>
        <m:sSup>
          <m:e>
            <m:r>
              <m:t>10</m:t>
            </m:r>
          </m:e>
          <m:sup>
            <m:r>
              <m:rPr>
                <m:sty m:val="p"/>
              </m:rPr>
              <m:t>−</m:t>
            </m:r>
            <m:r>
              <m:t>5</m:t>
            </m:r>
          </m:sup>
        </m:sSup>
      </m:oMath>
      <w:r>
        <w:t xml:space="preserve"> </w:t>
      </w:r>
      <w:r>
        <w:t xml:space="preserve">and</w:t>
      </w:r>
      <w:r>
        <w:t xml:space="preserve"> </w:t>
      </w:r>
      <m:oMath>
        <m:r>
          <m:t>0.044</m:t>
        </m:r>
      </m:oMath>
      <w:r>
        <w:t xml:space="preserve">), the two low-threshold variants do not</w:t>
      </w:r>
      <w:r>
        <w:t xml:space="preserve"> </w:t>
      </w:r>
      <w:r>
        <w:t xml:space="preserve">(13 of 20 each,</w:t>
      </w:r>
      <w:r>
        <w:t xml:space="preserve"> </w:t>
      </w:r>
      <m:oMath>
        <m:sSub>
          <m:e>
            <m:r>
              <m:t>p</m:t>
            </m:r>
          </m:e>
          <m:sub>
            <m:r>
              <m:rPr>
                <m:sty m:val="p"/>
              </m:rPr>
              <m:t>Holm</m:t>
            </m:r>
          </m:sub>
        </m:sSub>
        <m:r>
          <m:rPr>
            <m:sty m:val="p"/>
          </m:rPr>
          <m:t>=</m:t>
        </m:r>
        <m:r>
          <m:t>0.103</m:t>
        </m:r>
      </m:oMath>
      <w:r>
        <w:t xml:space="preserve">), and among the controllers below the reference</w:t>
      </w:r>
      <w:r>
        <w:t xml:space="preserve"> </w:t>
      </w:r>
      <w:r>
        <w:t xml:space="preserve">the frozen recipe and the re-identified dense variant lose significance as well. Three</w:t>
      </w:r>
      <w:r>
        <w:t xml:space="preserve"> </w:t>
      </w:r>
      <w:r>
        <w:t xml:space="preserve">controllers are not separable from the reference at either level:</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at run level.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each comparison</w:t>
      </w:r>
      <w:r>
        <w:t xml:space="preserve"> </w:t>
      </w:r>
      <w:r>
        <w:t xml:space="preserve">against it is a one-sample signed-rank test against a constant (Section </w:t>
      </w:r>
      <w:hyperlink w:anchor="sec:stats">
        <w:r>
          <w:rPr>
            <w:rStyle w:val="Hyperlink"/>
          </w:rPr>
          <w:t xml:space="preserve">2.8</w:t>
        </w:r>
      </w:hyperlink>
      <w:r>
        <w:t xml:space="preserve">).</w:t>
      </w:r>
      <w:r>
        <w:t xml:space="preserve"> </w:t>
      </w:r>
      <w:r>
        <w:t xml:space="preserve">In a separate</w:t>
      </w:r>
      <w:r>
        <w:t xml:space="preserve"> </w:t>
      </w:r>
      <w:r>
        <w:t xml:space="preserve">paired comparison between 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so the effect is due to the library and not to the optimiser.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w:t>
      </w:r>
      <w:r>
        <w:t xml:space="preserve"> </w:t>
      </w:r>
      <w:r>
        <w:t xml:space="preserve">under the priced objective (per-run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 test between them returns</w:t>
      </w:r>
      <w:r>
        <w:t xml:space="preserve"> </w:t>
      </w:r>
      <m:oMath>
        <m:r>
          <m:t>p</m:t>
        </m:r>
        <m:r>
          <m:rPr>
            <m:sty m:val="p"/>
          </m:rPr>
          <m:t>=</m:t>
        </m:r>
        <m:r>
          <m:t>0.012</m:t>
        </m:r>
      </m:oMath>
      <w:r>
        <w:t xml:space="preserve">, so the corrected levels</w:t>
      </w:r>
      <w:r>
        <w:t xml:space="preserve"> </w:t>
      </w:r>
      <w:r>
        <w:t xml:space="preserve">indicate separability rather than effect size.</w:t>
      </w:r>
    </w:p>
    <w:p>
      <w:pPr>
        <w:pStyle w:val="MDPI31text"/>
      </w:pPr>
      <w:r>
        <w:t xml:space="preserve">Matched on 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MDPI41tablecaption"/>
      </w:pPr>
      <w:r>
        <w:rPr>
          <w:b/>
        </w:rPr>
        <w:t xml:space="preserve">Table 6. </w:t>
      </w: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MDPI41threeline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rPr>
          <w:tblHeader/>
        </w:trPr>
        <w:tc>
          <w:tcPr>
            <w:vAlign w:val="center"/>
          </w:tcPr>
          <w:p>
            <w:pPr>
              <w:pStyle w:val="MDPI42tablebody"/>
              <w:suppressAutoHyphens/>
              <w:jc w:val="center"/>
            </w:pPr>
            <w:r>
              <w:t xml:space="preserve">Controller</w:t>
            </w:r>
          </w:p>
        </w:tc>
        <w:tc>
          <w:tcPr>
            <w:vAlign w:val="center"/>
          </w:tcPr>
          <w:p>
            <w:pPr>
              <w:pStyle w:val="MDPI42tablebody"/>
              <w:suppressAutoHyphens/>
              <w:jc w:val="center"/>
            </w:pPr>
            <w:r>
              <w:t xml:space="preserve">Lib.</w:t>
            </w:r>
          </w:p>
        </w:tc>
        <w:tc>
          <w:tcPr>
            <w:vAlign w:val="center"/>
          </w:tcPr>
          <w:p>
            <w:pPr>
              <w:pStyle w:val="MDPI42tablebody"/>
              <w:suppressAutoHyphens/>
              <w:jc w:val="center"/>
            </w:pPr>
            <w:r>
              <w:t xml:space="preserve">2020</w:t>
            </w:r>
          </w:p>
        </w:tc>
        <w:tc>
          <w:tcPr>
            <w:vAlign w:val="center"/>
          </w:tcPr>
          <w:p>
            <w:pPr>
              <w:pStyle w:val="MDPI42tablebody"/>
              <w:suppressAutoHyphens/>
              <w:jc w:val="center"/>
            </w:pPr>
            <w:r>
              <w:t xml:space="preserve">2021</w:t>
            </w:r>
          </w:p>
        </w:tc>
        <w:tc>
          <w:tcPr>
            <w:vAlign w:val="center"/>
          </w:tcPr>
          <w:p>
            <w:pPr>
              <w:pStyle w:val="MDPI42tablebody"/>
              <w:suppressAutoHyphens/>
              <w:jc w:val="center"/>
            </w:pPr>
            <w:r>
              <w:t xml:space="preserve">2022</w:t>
            </w:r>
          </w:p>
        </w:tc>
        <w:tc>
          <w:tcPr>
            <w:vAlign w:val="center"/>
          </w:tcPr>
          <w:p>
            <w:pPr>
              <w:pStyle w:val="MDPI42tablebody"/>
              <w:suppressAutoHyphens/>
              <w:jc w:val="center"/>
            </w:pPr>
            <w:r>
              <w:t xml:space="preserve">2023</w:t>
            </w:r>
          </w:p>
        </w:tc>
        <w:tc>
          <w:tcPr>
            <w:vAlign w:val="center"/>
          </w:tcPr>
          <w:p>
            <w:pPr>
              <w:pStyle w:val="MDPI42tablebody"/>
              <w:suppressAutoHyphens/>
              <w:jc w:val="center"/>
            </w:pPr>
            <w:r>
              <w:t xml:space="preserve">Four-season</w:t>
            </w:r>
          </w:p>
        </w:tc>
        <w:tc>
          <w:tcPr>
            <w:vAlign w:val="center"/>
          </w:tcPr>
          <w:p>
            <w:pPr>
              <w:pStyle w:val="MDPI42tablebody"/>
              <w:suppressAutoHyphens/>
              <w:jc w:val="center"/>
            </w:pPr>
            <m:oMath>
              <m:r>
                <m:t>n</m:t>
              </m:r>
            </m:oMath>
            <w:r>
              <w:t xml:space="preserve">​</w:t>
            </w:r>
          </w:p>
        </w:tc>
        <w:tc>
          <w:tcPr>
            <w:vAlign w:val="center"/>
          </w:tcPr>
          <w:p>
            <w:pPr>
              <w:pStyle w:val="MDPI42tablebody"/>
              <w:suppressAutoHyphens/>
              <w:jc w:val="center"/>
            </w:pPr>
            <w:r>
              <w:t xml:space="preserve">Viol. </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mean</w:t>
            </w:r>
            <w:r>
              <w:t xml:space="preserve"> </w:t>
            </w:r>
            <m:oMath>
              <m:r>
                <m:rPr>
                  <m:sty m:val="p"/>
                </m:rPr>
                <m:t>±</m:t>
              </m:r>
            </m:oMath>
            <w:r>
              <w:t xml:space="preserve"> </w:t>
            </w:r>
            <w:r>
              <w:t xml:space="preserve">SD</w:t>
            </w:r>
          </w:p>
        </w:tc>
        <w:tc>
          <w:tcPr>
            <w:vAlign w:val="center"/>
          </w:tcPr>
          <w:p>
            <w:pPr>
              <w:pStyle w:val="MDPI42tablebody"/>
              <w:suppressAutoHyphens/>
              <w:jc w:val="center"/>
            </w:pPr>
          </w:p>
        </w:tc>
        <w:tc>
          <w:tcPr>
            <w:vAlign w:val="center"/>
          </w:tcPr>
          <w:p>
            <w:pPr>
              <w:pStyle w:val="MDPI42tablebody"/>
              <w:suppressAutoHyphens/>
              <w:jc w:val="center"/>
            </w:pPr>
            <w:r>
              <w:t xml:space="preserve">steps</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w:r>
              <w:t xml:space="preserve">raw</w:t>
            </w:r>
          </w:p>
        </w:tc>
        <w:tc>
          <w:tcPr>
            <w:vAlign w:val="center"/>
          </w:tcPr>
          <w:p>
            <w:pPr>
              <w:pStyle w:val="MDPI42tablebody"/>
              <w:suppressAutoHyphens/>
              <w:jc w:val="center"/>
            </w:pPr>
            <m:oMath>
              <m:r>
                <m:t>9.10</m:t>
              </m:r>
              <m:r>
                <m:rPr>
                  <m:sty m:val="p"/>
                </m:rPr>
                <m:t>±</m:t>
              </m:r>
              <m:r>
                <m:t>0.36</m:t>
              </m:r>
            </m:oMath>
            <w:r>
              <w:t xml:space="preserve">​</w:t>
            </w:r>
          </w:p>
        </w:tc>
        <w:tc>
          <w:tcPr>
            <w:vAlign w:val="center"/>
          </w:tcPr>
          <w:p>
            <w:pPr>
              <w:pStyle w:val="MDPI42tablebody"/>
              <w:suppressAutoHyphens/>
              <w:jc w:val="center"/>
            </w:pPr>
            <m:oMath>
              <m:r>
                <m:rPr>
                  <m:sty m:val="p"/>
                </m:rPr>
                <m:t>−</m:t>
              </m:r>
              <m:r>
                <m:t>1.56</m:t>
              </m:r>
              <m:r>
                <m:rPr>
                  <m:sty m:val="p"/>
                </m:rPr>
                <m:t>±</m:t>
              </m:r>
              <m:r>
                <m:t>0.58</m:t>
              </m:r>
            </m:oMath>
            <w:r>
              <w:t xml:space="preserve">​</w:t>
            </w:r>
          </w:p>
        </w:tc>
        <w:tc>
          <w:tcPr>
            <w:vAlign w:val="center"/>
          </w:tcPr>
          <w:p>
            <w:pPr>
              <w:pStyle w:val="MDPI42tablebody"/>
              <w:suppressAutoHyphens/>
              <w:jc w:val="center"/>
            </w:pPr>
            <m:oMath>
              <m:r>
                <m:t>4.62</m:t>
              </m:r>
              <m:r>
                <m:rPr>
                  <m:sty m:val="p"/>
                </m:rPr>
                <m:t>±</m:t>
              </m:r>
              <m:r>
                <m:t>2.70</m:t>
              </m:r>
            </m:oMath>
            <w:r>
              <w:t xml:space="preserve">​</w:t>
            </w:r>
          </w:p>
        </w:tc>
        <w:tc>
          <w:tcPr>
            <w:vAlign w:val="center"/>
          </w:tcPr>
          <w:p>
            <w:pPr>
              <w:pStyle w:val="MDPI42tablebody"/>
              <w:suppressAutoHyphens/>
              <w:jc w:val="center"/>
            </w:pPr>
            <m:oMath>
              <m:r>
                <m:t>5.10</m:t>
              </m:r>
              <m:r>
                <m:rPr>
                  <m:sty m:val="p"/>
                </m:rPr>
                <m:t>±</m:t>
              </m:r>
              <m:r>
                <m:t>0.39</m:t>
              </m:r>
            </m:oMath>
            <w:r>
              <w:t xml:space="preserve">​</w:t>
            </w:r>
          </w:p>
        </w:tc>
        <w:tc>
          <w:tcPr>
            <w:vAlign w:val="center"/>
          </w:tcPr>
          <w:p>
            <w:pPr>
              <w:pStyle w:val="MDPI42tablebody"/>
              <w:suppressAutoHyphens/>
              <w:jc w:val="center"/>
            </w:pPr>
            <m:oMath>
              <m:r>
                <m:rPr>
                  <m:sty m:val="b"/>
                </m:rPr>
                <m:t>+</m:t>
              </m:r>
              <m:r>
                <m:rPr>
                  <m:sty m:val="b"/>
                </m:rPr>
                <m:t>4.32</m:t>
              </m:r>
              <m:r>
                <m:rPr>
                  <m:sty m:val="b"/>
                </m:rPr>
                <m:t>±</m:t>
              </m:r>
              <m:r>
                <m:rPr>
                  <m:sty m:val="b"/>
                </m:rPr>
                <m:t>4.08</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4130</w:t>
            </w:r>
          </w:p>
        </w:tc>
      </w:tr>
      <w:tr>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w:r>
              <w:t xml:space="preserve">raw</w:t>
            </w:r>
          </w:p>
        </w:tc>
        <w:tc>
          <w:tcPr>
            <w:vAlign w:val="center"/>
          </w:tcPr>
          <w:p>
            <w:pPr>
              <w:pStyle w:val="MDPI42tablebody"/>
              <w:suppressAutoHyphens/>
              <w:jc w:val="center"/>
            </w:pPr>
            <m:oMath>
              <m:r>
                <m:t>8.40</m:t>
              </m:r>
              <m:r>
                <m:rPr>
                  <m:sty m:val="p"/>
                </m:rPr>
                <m:t>±</m:t>
              </m:r>
              <m:r>
                <m:t>2.24</m:t>
              </m:r>
            </m:oMath>
            <w:r>
              <w:t xml:space="preserve">​</w:t>
            </w:r>
          </w:p>
        </w:tc>
        <w:tc>
          <w:tcPr>
            <w:vAlign w:val="center"/>
          </w:tcPr>
          <w:p>
            <w:pPr>
              <w:pStyle w:val="MDPI42tablebody"/>
              <w:suppressAutoHyphens/>
              <w:jc w:val="center"/>
            </w:pPr>
            <m:oMath>
              <m:r>
                <m:rPr>
                  <m:sty m:val="p"/>
                </m:rPr>
                <m:t>−</m:t>
              </m:r>
              <m:r>
                <m:t>1.71</m:t>
              </m:r>
              <m:r>
                <m:rPr>
                  <m:sty m:val="p"/>
                </m:rPr>
                <m:t>±</m:t>
              </m:r>
              <m:r>
                <m:t>0.70</m:t>
              </m:r>
            </m:oMath>
            <w:r>
              <w:t xml:space="preserve">​</w:t>
            </w:r>
          </w:p>
        </w:tc>
        <w:tc>
          <w:tcPr>
            <w:vAlign w:val="center"/>
          </w:tcPr>
          <w:p>
            <w:pPr>
              <w:pStyle w:val="MDPI42tablebody"/>
              <w:suppressAutoHyphens/>
              <w:jc w:val="center"/>
            </w:pPr>
            <m:oMath>
              <m:r>
                <m:t>4.04</m:t>
              </m:r>
              <m:r>
                <m:rPr>
                  <m:sty m:val="p"/>
                </m:rPr>
                <m:t>±</m:t>
              </m:r>
              <m:r>
                <m:t>3.40</m:t>
              </m:r>
            </m:oMath>
            <w:r>
              <w:t xml:space="preserve">​</w:t>
            </w:r>
          </w:p>
        </w:tc>
        <w:tc>
          <w:tcPr>
            <w:vAlign w:val="center"/>
          </w:tcPr>
          <w:p>
            <w:pPr>
              <w:pStyle w:val="MDPI42tablebody"/>
              <w:suppressAutoHyphens/>
              <w:jc w:val="center"/>
            </w:pPr>
            <m:oMath>
              <m:r>
                <m:t>4.61</m:t>
              </m:r>
              <m:r>
                <m:rPr>
                  <m:sty m:val="p"/>
                </m:rPr>
                <m:t>±</m:t>
              </m:r>
              <m:r>
                <m:t>1.59</m:t>
              </m:r>
            </m:oMath>
            <w:r>
              <w:t xml:space="preserve">​</w:t>
            </w:r>
          </w:p>
        </w:tc>
        <w:tc>
          <w:tcPr>
            <w:vAlign w:val="center"/>
          </w:tcPr>
          <w:p>
            <w:pPr>
              <w:pStyle w:val="MDPI42tablebody"/>
              <w:suppressAutoHyphens/>
              <w:jc w:val="center"/>
            </w:pPr>
            <m:oMath>
              <m:r>
                <m:rPr>
                  <m:sty m:val="p"/>
                </m:rPr>
                <m:t>+</m:t>
              </m:r>
              <m:r>
                <m:t>3.83</m:t>
              </m:r>
              <m:r>
                <m:rPr>
                  <m:sty m:val="p"/>
                </m:rPr>
                <m:t>±</m:t>
              </m:r>
              <m:r>
                <m:t>4.23</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4466</w:t>
            </w:r>
          </w:p>
        </w:tc>
      </w:tr>
      <w:tr>
        <w:tc>
          <w:tcPr>
            <w:vAlign w:val="center"/>
          </w:tcPr>
          <w:p>
            <w:pPr>
              <w:pStyle w:val="MDPI42tablebody"/>
              <w:suppressAutoHyphens/>
              <w:jc w:val="center"/>
            </w:pPr>
            <w:r>
              <w:rPr>
                <w:rStyle w:val="VerbatimChar"/>
              </w:rPr>
              <w:t xml:space="preserve">sindy_mpc_lowthr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6.58</m:t>
              </m:r>
              <m:r>
                <m:rPr>
                  <m:sty m:val="p"/>
                </m:rPr>
                <m:t>±</m:t>
              </m:r>
              <m:r>
                <m:t>1.25</m:t>
              </m:r>
            </m:oMath>
            <w:r>
              <w:t xml:space="preserve">​</w:t>
            </w:r>
          </w:p>
        </w:tc>
        <w:tc>
          <w:tcPr>
            <w:vAlign w:val="center"/>
          </w:tcPr>
          <w:p>
            <w:pPr>
              <w:pStyle w:val="MDPI42tablebody"/>
              <w:suppressAutoHyphens/>
              <w:jc w:val="center"/>
            </w:pPr>
            <m:oMath>
              <m:r>
                <m:t>0.27</m:t>
              </m:r>
              <m:r>
                <m:rPr>
                  <m:sty m:val="p"/>
                </m:rPr>
                <m:t>±</m:t>
              </m:r>
              <m:r>
                <m:t>1.73</m:t>
              </m:r>
            </m:oMath>
            <w:r>
              <w:t xml:space="preserve">​</w:t>
            </w:r>
          </w:p>
        </w:tc>
        <w:tc>
          <w:tcPr>
            <w:vAlign w:val="center"/>
          </w:tcPr>
          <w:p>
            <w:pPr>
              <w:pStyle w:val="MDPI42tablebody"/>
              <w:suppressAutoHyphens/>
              <w:jc w:val="center"/>
            </w:pPr>
            <m:oMath>
              <m:r>
                <m:t>3.22</m:t>
              </m:r>
              <m:r>
                <m:rPr>
                  <m:sty m:val="p"/>
                </m:rPr>
                <m:t>±</m:t>
              </m:r>
              <m:r>
                <m:t>1.35</m:t>
              </m:r>
            </m:oMath>
            <w:r>
              <w:t xml:space="preserve">​</w:t>
            </w:r>
          </w:p>
        </w:tc>
        <w:tc>
          <w:tcPr>
            <w:vAlign w:val="center"/>
          </w:tcPr>
          <w:p>
            <w:pPr>
              <w:pStyle w:val="MDPI42tablebody"/>
              <w:suppressAutoHyphens/>
              <w:jc w:val="center"/>
            </w:pPr>
            <m:oMath>
              <m:r>
                <m:t>2.29</m:t>
              </m:r>
              <m:r>
                <m:rPr>
                  <m:sty m:val="p"/>
                </m:rPr>
                <m:t>±</m:t>
              </m:r>
              <m:r>
                <m:t>1.48</m:t>
              </m:r>
            </m:oMath>
            <w:r>
              <w:t xml:space="preserve">​</w:t>
            </w:r>
          </w:p>
        </w:tc>
        <w:tc>
          <w:tcPr>
            <w:vAlign w:val="center"/>
          </w:tcPr>
          <w:p>
            <w:pPr>
              <w:pStyle w:val="MDPI42tablebody"/>
              <w:suppressAutoHyphens/>
              <w:jc w:val="center"/>
            </w:pPr>
            <m:oMath>
              <m:r>
                <m:rPr>
                  <m:sty m:val="p"/>
                </m:rPr>
                <m:t>+</m:t>
              </m:r>
              <m:r>
                <m:t>3.09</m:t>
              </m:r>
              <m:r>
                <m:rPr>
                  <m:sty m:val="p"/>
                </m:rPr>
                <m:t>±</m:t>
              </m:r>
              <m:r>
                <m:t>2.71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3692</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6.58</m:t>
              </m:r>
              <m:r>
                <m:rPr>
                  <m:sty m:val="p"/>
                </m:rPr>
                <m:t>±</m:t>
              </m:r>
              <m:r>
                <m:t>1.23</m:t>
              </m:r>
            </m:oMath>
            <w:r>
              <w:t xml:space="preserve">​</w:t>
            </w:r>
          </w:p>
        </w:tc>
        <w:tc>
          <w:tcPr>
            <w:vAlign w:val="center"/>
          </w:tcPr>
          <w:p>
            <w:pPr>
              <w:pStyle w:val="MDPI42tablebody"/>
              <w:suppressAutoHyphens/>
              <w:jc w:val="center"/>
            </w:pPr>
            <m:oMath>
              <m:r>
                <m:t>0.25</m:t>
              </m:r>
              <m:r>
                <m:rPr>
                  <m:sty m:val="p"/>
                </m:rPr>
                <m:t>±</m:t>
              </m:r>
              <m:r>
                <m:t>1.71</m:t>
              </m:r>
            </m:oMath>
            <w:r>
              <w:t xml:space="preserve">​</w:t>
            </w:r>
          </w:p>
        </w:tc>
        <w:tc>
          <w:tcPr>
            <w:vAlign w:val="center"/>
          </w:tcPr>
          <w:p>
            <w:pPr>
              <w:pStyle w:val="MDPI42tablebody"/>
              <w:suppressAutoHyphens/>
              <w:jc w:val="center"/>
            </w:pPr>
            <m:oMath>
              <m:r>
                <m:t>3.21</m:t>
              </m:r>
              <m:r>
                <m:rPr>
                  <m:sty m:val="p"/>
                </m:rPr>
                <m:t>±</m:t>
              </m:r>
              <m:r>
                <m:t>1.34</m:t>
              </m:r>
            </m:oMath>
            <w:r>
              <w:t xml:space="preserve">​</w:t>
            </w:r>
          </w:p>
        </w:tc>
        <w:tc>
          <w:tcPr>
            <w:vAlign w:val="center"/>
          </w:tcPr>
          <w:p>
            <w:pPr>
              <w:pStyle w:val="MDPI42tablebody"/>
              <w:suppressAutoHyphens/>
              <w:jc w:val="center"/>
            </w:pPr>
            <m:oMath>
              <m:r>
                <m:t>2.29</m:t>
              </m:r>
              <m:r>
                <m:rPr>
                  <m:sty m:val="p"/>
                </m:rPr>
                <m:t>±</m:t>
              </m:r>
              <m:r>
                <m:t>1.45</m:t>
              </m:r>
            </m:oMath>
            <w:r>
              <w:t xml:space="preserve">​</w:t>
            </w:r>
          </w:p>
        </w:tc>
        <w:tc>
          <w:tcPr>
            <w:vAlign w:val="center"/>
          </w:tcPr>
          <w:p>
            <w:pPr>
              <w:pStyle w:val="MDPI42tablebody"/>
              <w:suppressAutoHyphens/>
              <w:jc w:val="center"/>
            </w:pPr>
            <m:oMath>
              <m:r>
                <m:rPr>
                  <m:sty m:val="p"/>
                </m:rPr>
                <m:t>+</m:t>
              </m:r>
              <m:r>
                <m:t>3.08</m:t>
              </m:r>
              <m:r>
                <m:rPr>
                  <m:sty m:val="p"/>
                </m:rPr>
                <m:t>±</m:t>
              </m:r>
              <m:r>
                <m:t>2.70</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3686</w:t>
            </w:r>
          </w:p>
        </w:tc>
      </w:tr>
      <w:tr>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w:r>
              <w:t xml:space="preserve">phys</w:t>
            </w:r>
          </w:p>
        </w:tc>
        <w:tc>
          <w:tcPr>
            <w:vAlign w:val="center"/>
          </w:tcPr>
          <w:p>
            <w:pPr>
              <w:pStyle w:val="MDPI42tablebody"/>
              <w:suppressAutoHyphens/>
              <w:jc w:val="center"/>
            </w:pPr>
            <m:oMath>
              <m:r>
                <m:t>6.35</m:t>
              </m:r>
              <m:r>
                <m:rPr>
                  <m:sty m:val="p"/>
                </m:rPr>
                <m:t>±</m:t>
              </m:r>
              <m:r>
                <m:t>2.12</m:t>
              </m:r>
            </m:oMath>
            <w:r>
              <w:t xml:space="preserve">​</w:t>
            </w:r>
          </w:p>
        </w:tc>
        <w:tc>
          <w:tcPr>
            <w:vAlign w:val="center"/>
          </w:tcPr>
          <w:p>
            <w:pPr>
              <w:pStyle w:val="MDPI42tablebody"/>
              <w:suppressAutoHyphens/>
              <w:jc w:val="center"/>
            </w:pPr>
            <m:oMath>
              <m:r>
                <m:rPr>
                  <m:sty m:val="p"/>
                </m:rPr>
                <m:t>−</m:t>
              </m:r>
              <m:r>
                <m:t>1.91</m:t>
              </m:r>
              <m:r>
                <m:rPr>
                  <m:sty m:val="p"/>
                </m:rPr>
                <m:t>±</m:t>
              </m:r>
              <m:r>
                <m:t>0.87</m:t>
              </m:r>
            </m:oMath>
            <w:r>
              <w:t xml:space="preserve">​</w:t>
            </w:r>
          </w:p>
        </w:tc>
        <w:tc>
          <w:tcPr>
            <w:vAlign w:val="center"/>
          </w:tcPr>
          <w:p>
            <w:pPr>
              <w:pStyle w:val="MDPI42tablebody"/>
              <w:suppressAutoHyphens/>
              <w:jc w:val="center"/>
            </w:pPr>
            <m:oMath>
              <m:r>
                <m:t>3.07</m:t>
              </m:r>
              <m:r>
                <m:rPr>
                  <m:sty m:val="p"/>
                </m:rPr>
                <m:t>±</m:t>
              </m:r>
              <m:r>
                <m:t>2.34</m:t>
              </m:r>
            </m:oMath>
            <w:r>
              <w:t xml:space="preserve">​</w:t>
            </w:r>
          </w:p>
        </w:tc>
        <w:tc>
          <w:tcPr>
            <w:vAlign w:val="center"/>
          </w:tcPr>
          <w:p>
            <w:pPr>
              <w:pStyle w:val="MDPI42tablebody"/>
              <w:suppressAutoHyphens/>
              <w:jc w:val="center"/>
            </w:pPr>
            <m:oMath>
              <m:r>
                <m:t>3.51</m:t>
              </m:r>
              <m:r>
                <m:rPr>
                  <m:sty m:val="p"/>
                </m:rPr>
                <m:t>±</m:t>
              </m:r>
              <m:r>
                <m:t>1.44</m:t>
              </m:r>
            </m:oMath>
            <w:r>
              <w:t xml:space="preserve">​</w:t>
            </w:r>
          </w:p>
        </w:tc>
        <w:tc>
          <w:tcPr>
            <w:vAlign w:val="center"/>
          </w:tcPr>
          <w:p>
            <w:pPr>
              <w:pStyle w:val="MDPI42tablebody"/>
              <w:suppressAutoHyphens/>
              <w:jc w:val="center"/>
            </w:pPr>
            <m:oMath>
              <m:r>
                <m:rPr>
                  <m:sty m:val="p"/>
                </m:rPr>
                <m:t>+</m:t>
              </m:r>
              <m:r>
                <m:t>2.75</m:t>
              </m:r>
              <m:r>
                <m:rPr>
                  <m:sty m:val="p"/>
                </m:rPr>
                <m:t>±</m:t>
              </m:r>
              <m:r>
                <m:t>3.47</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4193</w:t>
            </w:r>
          </w:p>
        </w:tc>
      </w:tr>
      <w:tr>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w:r>
              <w:t xml:space="preserve">phys</w:t>
            </w:r>
          </w:p>
        </w:tc>
        <w:tc>
          <w:tcPr>
            <w:vAlign w:val="center"/>
          </w:tcPr>
          <w:p>
            <w:pPr>
              <w:pStyle w:val="MDPI42tablebody"/>
              <w:suppressAutoHyphens/>
              <w:jc w:val="center"/>
            </w:pPr>
            <m:oMath>
              <m:r>
                <m:t>5.82</m:t>
              </m:r>
              <m:r>
                <m:rPr>
                  <m:sty m:val="p"/>
                </m:rPr>
                <m:t>±</m:t>
              </m:r>
              <m:r>
                <m:t>2.87</m:t>
              </m:r>
            </m:oMath>
            <w:r>
              <w:t xml:space="preserve">​</w:t>
            </w:r>
          </w:p>
        </w:tc>
        <w:tc>
          <w:tcPr>
            <w:vAlign w:val="center"/>
          </w:tcPr>
          <w:p>
            <w:pPr>
              <w:pStyle w:val="MDPI42tablebody"/>
              <w:suppressAutoHyphens/>
              <w:jc w:val="center"/>
            </w:pPr>
            <m:oMath>
              <m:r>
                <m:rPr>
                  <m:sty m:val="p"/>
                </m:rPr>
                <m:t>−</m:t>
              </m:r>
              <m:r>
                <m:t>2.02</m:t>
              </m:r>
              <m:r>
                <m:rPr>
                  <m:sty m:val="p"/>
                </m:rPr>
                <m:t>±</m:t>
              </m:r>
              <m:r>
                <m:t>1.01</m:t>
              </m:r>
            </m:oMath>
            <w:r>
              <w:t xml:space="preserve">​</w:t>
            </w:r>
          </w:p>
        </w:tc>
        <w:tc>
          <w:tcPr>
            <w:vAlign w:val="center"/>
          </w:tcPr>
          <w:p>
            <w:pPr>
              <w:pStyle w:val="MDPI42tablebody"/>
              <w:suppressAutoHyphens/>
              <w:jc w:val="center"/>
            </w:pPr>
            <m:oMath>
              <m:r>
                <m:t>2.89</m:t>
              </m:r>
              <m:r>
                <m:rPr>
                  <m:sty m:val="p"/>
                </m:rPr>
                <m:t>±</m:t>
              </m:r>
              <m:r>
                <m:t>2.76</m:t>
              </m:r>
            </m:oMath>
            <w:r>
              <w:t xml:space="preserve">​</w:t>
            </w:r>
          </w:p>
        </w:tc>
        <w:tc>
          <w:tcPr>
            <w:vAlign w:val="center"/>
          </w:tcPr>
          <w:p>
            <w:pPr>
              <w:pStyle w:val="MDPI42tablebody"/>
              <w:suppressAutoHyphens/>
              <w:jc w:val="center"/>
            </w:pPr>
            <m:oMath>
              <m:r>
                <m:t>3.22</m:t>
              </m:r>
              <m:r>
                <m:rPr>
                  <m:sty m:val="p"/>
                </m:rPr>
                <m:t>±</m:t>
              </m:r>
              <m:r>
                <m:t>1.98</m:t>
              </m:r>
            </m:oMath>
            <w:r>
              <w:t xml:space="preserve">​</w:t>
            </w:r>
          </w:p>
        </w:tc>
        <w:tc>
          <w:tcPr>
            <w:vAlign w:val="center"/>
          </w:tcPr>
          <w:p>
            <w:pPr>
              <w:pStyle w:val="MDPI42tablebody"/>
              <w:suppressAutoHyphens/>
              <w:jc w:val="center"/>
            </w:pPr>
            <m:oMath>
              <m:r>
                <m:rPr>
                  <m:sty m:val="p"/>
                </m:rPr>
                <m:t>+</m:t>
              </m:r>
              <m:r>
                <m:t>2.48</m:t>
              </m:r>
              <m:r>
                <m:rPr>
                  <m:sty m:val="p"/>
                </m:rPr>
                <m:t>±</m:t>
              </m:r>
              <m:r>
                <m:t>3.62</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4174</w:t>
            </w:r>
          </w:p>
        </w:tc>
      </w:tr>
      <w:tr>
        <w:tc>
          <w:tcPr>
            <w:vAlign w:val="center"/>
          </w:tcPr>
          <w:p>
            <w:pPr>
              <w:pStyle w:val="MDPI42tablebody"/>
              <w:suppressAutoHyphens/>
              <w:jc w:val="center"/>
            </w:pPr>
            <w:r>
              <w:rPr>
                <w:rStyle w:val="VerbatimChar"/>
              </w:rPr>
              <w:t xml:space="preserve">rule_based_tuned</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6.29</m:t>
              </m:r>
            </m:oMath>
            <w:r>
              <w:t xml:space="preserve">​</w:t>
            </w:r>
          </w:p>
        </w:tc>
        <w:tc>
          <w:tcPr>
            <w:vAlign w:val="center"/>
          </w:tcPr>
          <w:p>
            <w:pPr>
              <w:pStyle w:val="MDPI42tablebody"/>
              <w:suppressAutoHyphens/>
              <w:jc w:val="center"/>
            </w:pPr>
            <m:oMath>
              <m:r>
                <m:rPr>
                  <m:sty m:val="p"/>
                </m:rPr>
                <m:t>−</m:t>
              </m:r>
              <m:r>
                <m:t>1.99</m:t>
              </m:r>
            </m:oMath>
            <w:r>
              <w:t xml:space="preserve">​</w:t>
            </w:r>
          </w:p>
        </w:tc>
        <w:tc>
          <w:tcPr>
            <w:vAlign w:val="center"/>
          </w:tcPr>
          <w:p>
            <w:pPr>
              <w:pStyle w:val="MDPI42tablebody"/>
              <w:suppressAutoHyphens/>
              <w:jc w:val="center"/>
            </w:pPr>
            <m:oMath>
              <m:r>
                <m:t>2.81</m:t>
              </m:r>
            </m:oMath>
            <w:r>
              <w:t xml:space="preserve">​</w:t>
            </w:r>
          </w:p>
        </w:tc>
        <w:tc>
          <w:tcPr>
            <w:vAlign w:val="center"/>
          </w:tcPr>
          <w:p>
            <w:pPr>
              <w:pStyle w:val="MDPI42tablebody"/>
              <w:suppressAutoHyphens/>
              <w:jc w:val="center"/>
            </w:pPr>
            <m:oMath>
              <m:r>
                <m:t>1.94</m:t>
              </m:r>
            </m:oMath>
            <w:r>
              <w:t xml:space="preserve">​</w:t>
            </w:r>
          </w:p>
        </w:tc>
        <w:tc>
          <w:tcPr>
            <w:vAlign w:val="center"/>
          </w:tcPr>
          <w:p>
            <w:pPr>
              <w:pStyle w:val="MDPI42tablebody"/>
              <w:suppressAutoHyphens/>
              <w:jc w:val="center"/>
            </w:pPr>
            <m:oMath>
              <m:r>
                <m:rPr>
                  <m:sty m:val="p"/>
                </m:rPr>
                <m:t>+</m:t>
              </m:r>
              <m:r>
                <m:t>2.26</m:t>
              </m:r>
            </m:oMath>
            <w:r>
              <w:t xml:space="preserve">​</w:t>
            </w:r>
          </w:p>
        </w:tc>
        <w:tc>
          <w:tcPr>
            <w:vAlign w:val="center"/>
          </w:tcPr>
          <w:p>
            <w:pPr>
              <w:pStyle w:val="MDPI42tablebody"/>
              <w:suppressAutoHyphens/>
              <w:jc w:val="center"/>
            </w:pPr>
            <w:r>
              <w:t xml:space="preserve">4</w:t>
            </w:r>
          </w:p>
        </w:tc>
        <w:tc>
          <w:tcPr>
            <w:vAlign w:val="center"/>
          </w:tcPr>
          <w:p>
            <w:pPr>
              <w:pStyle w:val="MDPI42tablebody"/>
              <w:suppressAutoHyphens/>
              <w:jc w:val="center"/>
            </w:pPr>
            <w:r>
              <w:t xml:space="preserve">4339</w:t>
            </w:r>
          </w:p>
        </w:tc>
      </w:tr>
      <w:tr>
        <w:tc>
          <w:tcPr>
            <w:vAlign w:val="center"/>
          </w:tcPr>
          <w:p>
            <w:pPr>
              <w:pStyle w:val="MDPI42tablebody"/>
              <w:suppressAutoHyphens/>
              <w:jc w:val="center"/>
            </w:pPr>
            <w:r>
              <w:rPr>
                <w:rStyle w:val="VerbatimChar"/>
              </w:rPr>
              <w:t xml:space="preserve">sindy_mpc_conf_dagger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4.56</m:t>
              </m:r>
              <m:r>
                <m:rPr>
                  <m:sty m:val="p"/>
                </m:rPr>
                <m:t>±</m:t>
              </m:r>
              <m:r>
                <m:t>3.09</m:t>
              </m:r>
            </m:oMath>
            <w:r>
              <w:t xml:space="preserve">​</w:t>
            </w:r>
          </w:p>
        </w:tc>
        <w:tc>
          <w:tcPr>
            <w:vAlign w:val="center"/>
          </w:tcPr>
          <w:p>
            <w:pPr>
              <w:pStyle w:val="MDPI42tablebody"/>
              <w:suppressAutoHyphens/>
              <w:jc w:val="center"/>
            </w:pPr>
            <m:oMath>
              <m:r>
                <m:rPr>
                  <m:sty m:val="p"/>
                </m:rPr>
                <m:t>−</m:t>
              </m:r>
              <m:r>
                <m:t>1.73</m:t>
              </m:r>
              <m:r>
                <m:rPr>
                  <m:sty m:val="p"/>
                </m:rPr>
                <m:t>±</m:t>
              </m:r>
              <m:r>
                <m:t>2.43</m:t>
              </m:r>
            </m:oMath>
            <w:r>
              <w:t xml:space="preserve">​</w:t>
            </w:r>
          </w:p>
        </w:tc>
        <w:tc>
          <w:tcPr>
            <w:vAlign w:val="center"/>
          </w:tcPr>
          <w:p>
            <w:pPr>
              <w:pStyle w:val="MDPI42tablebody"/>
              <w:suppressAutoHyphens/>
              <w:jc w:val="center"/>
            </w:pPr>
            <m:oMath>
              <m:r>
                <m:t>2.23</m:t>
              </m:r>
              <m:r>
                <m:rPr>
                  <m:sty m:val="p"/>
                </m:rPr>
                <m:t>±</m:t>
              </m:r>
              <m:r>
                <m:t>3.74</m:t>
              </m:r>
            </m:oMath>
            <w:r>
              <w:t xml:space="preserve">​</w:t>
            </w:r>
          </w:p>
        </w:tc>
        <w:tc>
          <w:tcPr>
            <w:vAlign w:val="center"/>
          </w:tcPr>
          <w:p>
            <w:pPr>
              <w:pStyle w:val="MDPI42tablebody"/>
              <w:suppressAutoHyphens/>
              <w:jc w:val="center"/>
            </w:pPr>
            <m:oMath>
              <m:r>
                <m:t>1.57</m:t>
              </m:r>
              <m:r>
                <m:rPr>
                  <m:sty m:val="p"/>
                </m:rPr>
                <m:t>±</m:t>
              </m:r>
              <m:r>
                <m:t>2.52</m:t>
              </m:r>
            </m:oMath>
            <w:r>
              <w:t xml:space="preserve">​</w:t>
            </w:r>
          </w:p>
        </w:tc>
        <w:tc>
          <w:tcPr>
            <w:vAlign w:val="center"/>
          </w:tcPr>
          <w:p>
            <w:pPr>
              <w:pStyle w:val="MDPI42tablebody"/>
              <w:suppressAutoHyphens/>
              <w:jc w:val="center"/>
            </w:pPr>
            <m:oMath>
              <m:r>
                <m:rPr>
                  <m:sty m:val="p"/>
                </m:rPr>
                <m:t>+</m:t>
              </m:r>
              <m:r>
                <m:t>1.66</m:t>
              </m:r>
              <m:r>
                <m:rPr>
                  <m:sty m:val="p"/>
                </m:rPr>
                <m:t>±</m:t>
              </m:r>
              <m:r>
                <m:t>3.71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4138</w:t>
            </w:r>
          </w:p>
        </w:tc>
      </w:tr>
      <w:tr>
        <w:tc>
          <w:tcPr>
            <w:vAlign w:val="center"/>
          </w:tcPr>
          <w:p>
            <w:pPr>
              <w:pStyle w:val="MDPI42tablebody"/>
              <w:suppressAutoHyphens/>
              <w:jc w:val="center"/>
            </w:pPr>
            <w:r>
              <w:rPr>
                <w:rStyle w:val="VerbatimChar"/>
              </w:rPr>
              <w:t xml:space="preserve">sindy_mpc_dense_dagger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4.74</m:t>
              </m:r>
              <m:r>
                <m:rPr>
                  <m:sty m:val="p"/>
                </m:rPr>
                <m:t>±</m:t>
              </m:r>
              <m:r>
                <m:t>2.59</m:t>
              </m:r>
            </m:oMath>
            <w:r>
              <w:t xml:space="preserve">​</w:t>
            </w:r>
          </w:p>
        </w:tc>
        <w:tc>
          <w:tcPr>
            <w:vAlign w:val="center"/>
          </w:tcPr>
          <w:p>
            <w:pPr>
              <w:pStyle w:val="MDPI42tablebody"/>
              <w:suppressAutoHyphens/>
              <w:jc w:val="center"/>
            </w:pPr>
            <m:oMath>
              <m:r>
                <m:rPr>
                  <m:sty m:val="p"/>
                </m:rPr>
                <m:t>−</m:t>
              </m:r>
              <m:r>
                <m:t>1.59</m:t>
              </m:r>
              <m:r>
                <m:rPr>
                  <m:sty m:val="p"/>
                </m:rPr>
                <m:t>±</m:t>
              </m:r>
              <m:r>
                <m:t>1.09</m:t>
              </m:r>
            </m:oMath>
            <w:r>
              <w:t xml:space="preserve">​</w:t>
            </w:r>
          </w:p>
        </w:tc>
        <w:tc>
          <w:tcPr>
            <w:vAlign w:val="center"/>
          </w:tcPr>
          <w:p>
            <w:pPr>
              <w:pStyle w:val="MDPI42tablebody"/>
              <w:suppressAutoHyphens/>
              <w:jc w:val="center"/>
            </w:pPr>
            <m:oMath>
              <m:r>
                <m:t>1.70</m:t>
              </m:r>
              <m:r>
                <m:rPr>
                  <m:sty m:val="p"/>
                </m:rPr>
                <m:t>±</m:t>
              </m:r>
              <m:r>
                <m:t>1.78</m:t>
              </m:r>
            </m:oMath>
            <w:r>
              <w:t xml:space="preserve">​</w:t>
            </w:r>
          </w:p>
        </w:tc>
        <w:tc>
          <w:tcPr>
            <w:vAlign w:val="center"/>
          </w:tcPr>
          <w:p>
            <w:pPr>
              <w:pStyle w:val="MDPI42tablebody"/>
              <w:suppressAutoHyphens/>
              <w:jc w:val="center"/>
            </w:pPr>
            <m:oMath>
              <m:r>
                <m:t>0.63</m:t>
              </m:r>
              <m:r>
                <m:rPr>
                  <m:sty m:val="p"/>
                </m:rPr>
                <m:t>±</m:t>
              </m:r>
              <m:r>
                <m:t>1.37</m:t>
              </m:r>
            </m:oMath>
            <w:r>
              <w:t xml:space="preserve">​</w:t>
            </w:r>
          </w:p>
        </w:tc>
        <w:tc>
          <w:tcPr>
            <w:vAlign w:val="center"/>
          </w:tcPr>
          <w:p>
            <w:pPr>
              <w:pStyle w:val="MDPI42tablebody"/>
              <w:suppressAutoHyphens/>
              <w:jc w:val="center"/>
            </w:pPr>
            <m:oMath>
              <m:r>
                <m:rPr>
                  <m:sty m:val="p"/>
                </m:rPr>
                <m:t>+</m:t>
              </m:r>
              <m:r>
                <m:t>1.37</m:t>
              </m:r>
              <m:r>
                <m:rPr>
                  <m:sty m:val="p"/>
                </m:rPr>
                <m:t>±</m:t>
              </m:r>
              <m:r>
                <m:t>2.89</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3615</w:t>
            </w:r>
          </w:p>
        </w:tc>
      </w:tr>
      <w:tr>
        <w:tc>
          <w:tcPr>
            <w:vAlign w:val="center"/>
          </w:tcPr>
          <w:p>
            <w:pPr>
              <w:pStyle w:val="MDPI42tablebody"/>
              <w:suppressAutoHyphens/>
              <w:jc w:val="center"/>
            </w:pPr>
            <w:r>
              <w:rPr>
                <w:rStyle w:val="VerbatimChar"/>
              </w:rPr>
              <w:t xml:space="preserve">ppo</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3.36</m:t>
              </m:r>
              <m:r>
                <m:rPr>
                  <m:sty m:val="p"/>
                </m:rPr>
                <m:t>±</m:t>
              </m:r>
              <m:r>
                <m:t>1.59</m:t>
              </m:r>
            </m:oMath>
            <w:r>
              <w:t xml:space="preserve">​</w:t>
            </w:r>
          </w:p>
        </w:tc>
        <w:tc>
          <w:tcPr>
            <w:vAlign w:val="center"/>
          </w:tcPr>
          <w:p>
            <w:pPr>
              <w:pStyle w:val="MDPI42tablebody"/>
              <w:suppressAutoHyphens/>
              <w:jc w:val="center"/>
            </w:pPr>
            <m:oMath>
              <m:r>
                <m:rPr>
                  <m:sty m:val="p"/>
                </m:rPr>
                <m:t>−</m:t>
              </m:r>
              <m:r>
                <m:t>2.10</m:t>
              </m:r>
              <m:r>
                <m:rPr>
                  <m:sty m:val="p"/>
                </m:rPr>
                <m:t>±</m:t>
              </m:r>
              <m:r>
                <m:t>1.03</m:t>
              </m:r>
            </m:oMath>
            <w:r>
              <w:t xml:space="preserve">​</w:t>
            </w:r>
          </w:p>
        </w:tc>
        <w:tc>
          <w:tcPr>
            <w:vAlign w:val="center"/>
          </w:tcPr>
          <w:p>
            <w:pPr>
              <w:pStyle w:val="MDPI42tablebody"/>
              <w:suppressAutoHyphens/>
              <w:jc w:val="center"/>
            </w:pPr>
            <m:oMath>
              <m:r>
                <m:t>1.72</m:t>
              </m:r>
              <m:r>
                <m:rPr>
                  <m:sty m:val="p"/>
                </m:rPr>
                <m:t>±</m:t>
              </m:r>
              <m:r>
                <m:t>1.19</m:t>
              </m:r>
            </m:oMath>
            <w:r>
              <w:t xml:space="preserve">​</w:t>
            </w:r>
          </w:p>
        </w:tc>
        <w:tc>
          <w:tcPr>
            <w:vAlign w:val="center"/>
          </w:tcPr>
          <w:p>
            <w:pPr>
              <w:pStyle w:val="MDPI42tablebody"/>
              <w:suppressAutoHyphens/>
              <w:jc w:val="center"/>
            </w:pPr>
            <m:oMath>
              <m:r>
                <m:rPr>
                  <m:sty m:val="p"/>
                </m:rPr>
                <m:t>−</m:t>
              </m:r>
              <m:r>
                <m:t>1.17</m:t>
              </m:r>
              <m:r>
                <m:rPr>
                  <m:sty m:val="p"/>
                </m:rPr>
                <m:t>±</m:t>
              </m:r>
              <m:r>
                <m:t>3.40</m:t>
              </m:r>
            </m:oMath>
            <w:r>
              <w:t xml:space="preserve">​</w:t>
            </w:r>
          </w:p>
        </w:tc>
        <w:tc>
          <w:tcPr>
            <w:vAlign w:val="center"/>
          </w:tcPr>
          <w:p>
            <w:pPr>
              <w:pStyle w:val="MDPI42tablebody"/>
              <w:suppressAutoHyphens/>
              <w:jc w:val="center"/>
            </w:pPr>
            <m:oMath>
              <m:r>
                <m:rPr>
                  <m:sty m:val="p"/>
                </m:rPr>
                <m:t>+</m:t>
              </m:r>
              <m:r>
                <m:t>0.45</m:t>
              </m:r>
              <m:r>
                <m:rPr>
                  <m:sty m:val="p"/>
                </m:rPr>
                <m:t>±</m:t>
              </m:r>
              <m:r>
                <m:t>2.97</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rPr>
                <w:b/>
                <w:bCs/>
              </w:rPr>
              <w:t xml:space="preserve">1330</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3.88</m:t>
              </m:r>
              <m:r>
                <m:rPr>
                  <m:sty m:val="p"/>
                </m:rPr>
                <m:t>±</m:t>
              </m:r>
              <m:r>
                <m:t>4.23</m:t>
              </m:r>
            </m:oMath>
            <w:r>
              <w:t xml:space="preserve">​</w:t>
            </w:r>
          </w:p>
        </w:tc>
        <w:tc>
          <w:tcPr>
            <w:vAlign w:val="center"/>
          </w:tcPr>
          <w:p>
            <w:pPr>
              <w:pStyle w:val="MDPI42tablebody"/>
              <w:suppressAutoHyphens/>
              <w:jc w:val="center"/>
            </w:pPr>
            <m:oMath>
              <m:r>
                <m:rPr>
                  <m:sty m:val="p"/>
                </m:rPr>
                <m:t>−</m:t>
              </m:r>
              <m:r>
                <m:t>3.16</m:t>
              </m:r>
              <m:r>
                <m:rPr>
                  <m:sty m:val="p"/>
                </m:rPr>
                <m:t>±</m:t>
              </m:r>
              <m:r>
                <m:t>1.34</m:t>
              </m:r>
            </m:oMath>
            <w:r>
              <w:t xml:space="preserve">​</w:t>
            </w:r>
          </w:p>
        </w:tc>
        <w:tc>
          <w:tcPr>
            <w:vAlign w:val="center"/>
          </w:tcPr>
          <w:p>
            <w:pPr>
              <w:pStyle w:val="MDPI42tablebody"/>
              <w:suppressAutoHyphens/>
              <w:jc w:val="center"/>
            </w:pPr>
            <m:oMath>
              <m:r>
                <m:rPr>
                  <m:sty m:val="p"/>
                </m:rPr>
                <m:t>−</m:t>
              </m:r>
              <m:r>
                <m:t>0.31</m:t>
              </m:r>
              <m:r>
                <m:rPr>
                  <m:sty m:val="p"/>
                </m:rPr>
                <m:t>±</m:t>
              </m:r>
              <m:r>
                <m:t>3.42</m:t>
              </m:r>
            </m:oMath>
            <w:r>
              <w:t xml:space="preserve">​</w:t>
            </w:r>
          </w:p>
        </w:tc>
        <w:tc>
          <w:tcPr>
            <w:vAlign w:val="center"/>
          </w:tcPr>
          <w:p>
            <w:pPr>
              <w:pStyle w:val="MDPI42tablebody"/>
              <w:suppressAutoHyphens/>
              <w:jc w:val="center"/>
            </w:pPr>
            <m:oMath>
              <m:r>
                <m:t>0.72</m:t>
              </m:r>
              <m:r>
                <m:rPr>
                  <m:sty m:val="p"/>
                </m:rPr>
                <m:t>±</m:t>
              </m:r>
              <m:r>
                <m:t>3.46</m:t>
              </m:r>
            </m:oMath>
            <w:r>
              <w:t xml:space="preserve">​</w:t>
            </w:r>
          </w:p>
        </w:tc>
        <w:tc>
          <w:tcPr>
            <w:vAlign w:val="center"/>
          </w:tcPr>
          <w:p>
            <w:pPr>
              <w:pStyle w:val="MDPI42tablebody"/>
              <w:suppressAutoHyphens/>
              <w:jc w:val="center"/>
            </w:pPr>
            <m:oMath>
              <m:r>
                <m:rPr>
                  <m:sty m:val="p"/>
                </m:rPr>
                <m:t>+</m:t>
              </m:r>
              <m:r>
                <m:t>0.28</m:t>
              </m:r>
              <m:r>
                <m:rPr>
                  <m:sty m:val="p"/>
                </m:rPr>
                <m:t>±</m:t>
              </m:r>
              <m:r>
                <m:t>4.11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4755</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4.63</m:t>
              </m:r>
              <m:r>
                <m:rPr>
                  <m:sty m:val="p"/>
                </m:rPr>
                <m:t>±</m:t>
              </m:r>
              <m:r>
                <m:t>0.00</m:t>
              </m:r>
            </m:oMath>
            <w:r>
              <w:t xml:space="preserve">​</w:t>
            </w:r>
          </w:p>
        </w:tc>
        <w:tc>
          <w:tcPr>
            <w:vAlign w:val="center"/>
          </w:tcPr>
          <w:p>
            <w:pPr>
              <w:pStyle w:val="MDPI42tablebody"/>
              <w:suppressAutoHyphens/>
              <w:jc w:val="center"/>
            </w:pPr>
            <m:oMath>
              <m:r>
                <m:rPr>
                  <m:sty m:val="p"/>
                </m:rPr>
                <m:t>−</m:t>
              </m:r>
              <m:r>
                <m:t>6.97</m:t>
              </m:r>
              <m:r>
                <m:rPr>
                  <m:sty m:val="p"/>
                </m:rPr>
                <m:t>±</m:t>
              </m:r>
              <m:r>
                <m:t>0.00</m:t>
              </m:r>
            </m:oMath>
            <w:r>
              <w:t xml:space="preserve">​</w:t>
            </w:r>
          </w:p>
        </w:tc>
        <w:tc>
          <w:tcPr>
            <w:vAlign w:val="center"/>
          </w:tcPr>
          <w:p>
            <w:pPr>
              <w:pStyle w:val="MDPI42tablebody"/>
              <w:suppressAutoHyphens/>
              <w:jc w:val="center"/>
            </w:pPr>
            <m:oMath>
              <m:r>
                <m:t>1.33</m:t>
              </m:r>
              <m:r>
                <m:rPr>
                  <m:sty m:val="p"/>
                </m:rPr>
                <m:t>±</m:t>
              </m:r>
              <m:r>
                <m:t>0.00</m:t>
              </m:r>
            </m:oMath>
            <w:r>
              <w:t xml:space="preserve">​</w:t>
            </w:r>
          </w:p>
        </w:tc>
        <w:tc>
          <w:tcPr>
            <w:vAlign w:val="center"/>
          </w:tcPr>
          <w:p>
            <w:pPr>
              <w:pStyle w:val="MDPI42tablebody"/>
              <w:suppressAutoHyphens/>
              <w:jc w:val="center"/>
            </w:pPr>
            <m:oMath>
              <m:r>
                <m:rPr>
                  <m:sty m:val="p"/>
                </m:rPr>
                <m:t>−</m:t>
              </m:r>
              <m:r>
                <m:t>3.81</m:t>
              </m:r>
              <m:r>
                <m:rPr>
                  <m:sty m:val="p"/>
                </m:rPr>
                <m:t>±</m:t>
              </m:r>
              <m:r>
                <m:t>0.00</m:t>
              </m:r>
            </m:oMath>
            <w:r>
              <w:t xml:space="preserve">​</w:t>
            </w:r>
          </w:p>
        </w:tc>
        <w:tc>
          <w:tcPr>
            <w:vAlign w:val="center"/>
          </w:tcPr>
          <w:p>
            <w:pPr>
              <w:pStyle w:val="MDPI42tablebody"/>
              <w:suppressAutoHyphens/>
              <w:jc w:val="center"/>
            </w:pPr>
            <m:oMath>
              <m:r>
                <m:rPr>
                  <m:sty m:val="p"/>
                </m:rPr>
                <m:t>−</m:t>
              </m:r>
              <m:r>
                <m:t>1.21</m:t>
              </m:r>
              <m:r>
                <m:rPr>
                  <m:sty m:val="p"/>
                </m:rPr>
                <m:t>±</m:t>
              </m:r>
              <m:r>
                <m:t>4.52</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2810</w:t>
            </w:r>
          </w:p>
        </w:tc>
      </w:tr>
      <w:tr>
        <w:tc>
          <w:tcPr>
            <w:vAlign w:val="center"/>
          </w:tcPr>
          <w:p>
            <w:pPr>
              <w:pStyle w:val="MDPI42tablebody"/>
              <w:suppressAutoHyphens/>
              <w:jc w:val="center"/>
            </w:pPr>
            <w:r>
              <w:rPr>
                <w:rStyle w:val="VerbatimChar"/>
              </w:rPr>
              <w:t xml:space="preserve">oracle_mpc</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2.77</m:t>
              </m:r>
              <m:r>
                <m:rPr>
                  <m:sty m:val="p"/>
                </m:rPr>
                <m:t>±</m:t>
              </m:r>
              <m:r>
                <m:t>0.08</m:t>
              </m:r>
            </m:oMath>
            <w:r>
              <w:t xml:space="preserve">​</w:t>
            </w:r>
          </w:p>
        </w:tc>
        <w:tc>
          <w:tcPr>
            <w:vAlign w:val="center"/>
          </w:tcPr>
          <w:p>
            <w:pPr>
              <w:pStyle w:val="MDPI42tablebody"/>
              <w:suppressAutoHyphens/>
              <w:jc w:val="center"/>
            </w:pPr>
            <m:oMath>
              <m:r>
                <m:rPr>
                  <m:sty m:val="p"/>
                </m:rPr>
                <m:t>−</m:t>
              </m:r>
              <m:r>
                <m:t>6.76</m:t>
              </m:r>
              <m:r>
                <m:rPr>
                  <m:sty m:val="p"/>
                </m:rPr>
                <m:t>±</m:t>
              </m:r>
              <m:r>
                <m:t>0.09</m:t>
              </m:r>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3.95</m:t>
              </m:r>
              <m:r>
                <m:rPr>
                  <m:sty m:val="p"/>
                </m:rPr>
                <m:t>±</m:t>
              </m:r>
              <m:r>
                <m:t>0.06</m:t>
              </m:r>
            </m:oMath>
            <w:r>
              <w:t xml:space="preserve">​</w:t>
            </w:r>
          </w:p>
        </w:tc>
        <w:tc>
          <w:tcPr>
            <w:vAlign w:val="center"/>
          </w:tcPr>
          <w:p>
            <w:pPr>
              <w:pStyle w:val="MDPI42tablebody"/>
              <w:suppressAutoHyphens/>
              <w:jc w:val="center"/>
            </w:pPr>
            <m:oMath>
              <m:r>
                <m:rPr>
                  <m:sty m:val="p"/>
                </m:rPr>
                <m:t>−</m:t>
              </m:r>
              <m:r>
                <m:t>2.65</m:t>
              </m:r>
              <m:r>
                <m:rPr>
                  <m:sty m:val="p"/>
                </m:rPr>
                <m:t>±</m:t>
              </m:r>
              <m:r>
                <m:t>4.03</m:t>
              </m:r>
            </m:oMath>
            <w:r>
              <w:t xml:space="preserve">​</w:t>
            </w:r>
          </w:p>
        </w:tc>
        <w:tc>
          <w:tcPr>
            <w:vAlign w:val="center"/>
          </w:tcPr>
          <w:p>
            <w:pPr>
              <w:pStyle w:val="MDPI42tablebody"/>
              <w:suppressAutoHyphens/>
              <w:jc w:val="center"/>
            </w:pPr>
            <w:r>
              <w:t xml:space="preserve">60</w:t>
            </w:r>
          </w:p>
        </w:tc>
        <w:tc>
          <w:tcPr>
            <w:vAlign w:val="center"/>
          </w:tcPr>
          <w:p>
            <w:pPr>
              <w:pStyle w:val="MDPI42tablebody"/>
              <w:suppressAutoHyphens/>
              <w:jc w:val="center"/>
            </w:pPr>
            <w:r>
              <w:t xml:space="preserve">3321</w:t>
            </w:r>
          </w:p>
        </w:tc>
      </w:tr>
      <w:tr>
        <w:tc>
          <w:tcPr>
            <w:vAlign w:val="center"/>
          </w:tcPr>
          <w:p>
            <w:pPr>
              <w:pStyle w:val="MDPI42tablebody"/>
              <w:suppressAutoHyphens/>
              <w:jc w:val="center"/>
            </w:pPr>
            <w:r>
              <w:rPr>
                <w:rStyle w:val="VerbatimChar"/>
              </w:rPr>
              <w:t xml:space="preserve">nn_mpc</w:t>
            </w:r>
          </w:p>
        </w:tc>
        <w:tc>
          <w:tcPr>
            <w:vAlign w:val="center"/>
          </w:tcPr>
          <w:p>
            <w:pPr>
              <w:pStyle w:val="MDPI42tablebody"/>
              <w:suppressAutoHyphens/>
              <w:jc w:val="center"/>
            </w:pPr>
            <w:r>
              <w:t xml:space="preserve">phys</w:t>
            </w:r>
            <m:oMath>
              <m:sSup>
                <m:e>
                  <m:r>
                    <m:t>​</m:t>
                  </m:r>
                </m:e>
                <m:sup>
                  <m:r>
                    <m:rPr>
                      <m:sty m:val="p"/>
                    </m:rPr>
                    <m:t>*</m:t>
                  </m:r>
                </m:sup>
              </m:sSup>
            </m:oMath>
          </w:p>
        </w:tc>
        <w:tc>
          <w:tcPr>
            <w:vAlign w:val="center"/>
          </w:tcPr>
          <w:p>
            <w:pPr>
              <w:pStyle w:val="MDPI42tablebody"/>
              <w:suppressAutoHyphens/>
              <w:jc w:val="center"/>
            </w:pPr>
            <m:oMath>
              <m:r>
                <m:rPr>
                  <m:sty m:val="p"/>
                </m:rPr>
                <m:t>−</m:t>
              </m:r>
              <m:r>
                <m:t>1.78</m:t>
              </m:r>
              <m:r>
                <m:rPr>
                  <m:sty m:val="p"/>
                </m:rPr>
                <m:t>±</m:t>
              </m:r>
              <m:r>
                <m:t>1.95</m:t>
              </m:r>
            </m:oMath>
            <w:r>
              <w:t xml:space="preserve">​</w:t>
            </w:r>
          </w:p>
        </w:tc>
        <w:tc>
          <w:tcPr>
            <w:vAlign w:val="center"/>
          </w:tcPr>
          <w:p>
            <w:pPr>
              <w:pStyle w:val="MDPI42tablebody"/>
              <w:suppressAutoHyphens/>
              <w:jc w:val="center"/>
            </w:pPr>
            <m:oMath>
              <m:r>
                <m:rPr>
                  <m:sty m:val="p"/>
                </m:rPr>
                <m:t>−</m:t>
              </m:r>
              <m:r>
                <m:t>5.94</m:t>
              </m:r>
              <m:r>
                <m:rPr>
                  <m:sty m:val="p"/>
                </m:rPr>
                <m:t>±</m:t>
              </m:r>
              <m:r>
                <m:t>1.99</m:t>
              </m:r>
            </m:oMath>
            <w:r>
              <w:t xml:space="preserve">​</w:t>
            </w:r>
          </w:p>
        </w:tc>
        <w:tc>
          <w:tcPr>
            <w:vAlign w:val="center"/>
          </w:tcPr>
          <w:p>
            <w:pPr>
              <w:pStyle w:val="MDPI42tablebody"/>
              <w:suppressAutoHyphens/>
              <w:jc w:val="center"/>
            </w:pPr>
            <m:oMath>
              <m:r>
                <m:rPr>
                  <m:sty m:val="p"/>
                </m:rPr>
                <m:t>−</m:t>
              </m:r>
              <m:r>
                <m:t>4.63</m:t>
              </m:r>
              <m:r>
                <m:rPr>
                  <m:sty m:val="p"/>
                </m:rPr>
                <m:t>±</m:t>
              </m:r>
              <m:r>
                <m:t>1.82</m:t>
              </m:r>
            </m:oMath>
            <w:r>
              <w:t xml:space="preserve">​</w:t>
            </w:r>
          </w:p>
        </w:tc>
        <w:tc>
          <w:tcPr>
            <w:vAlign w:val="center"/>
          </w:tcPr>
          <w:p>
            <w:pPr>
              <w:pStyle w:val="MDPI42tablebody"/>
              <w:suppressAutoHyphens/>
              <w:jc w:val="center"/>
            </w:pPr>
            <m:oMath>
              <m:r>
                <m:rPr>
                  <m:sty m:val="p"/>
                </m:rPr>
                <m:t>−</m:t>
              </m:r>
              <m:r>
                <m:t>2.93</m:t>
              </m:r>
              <m:r>
                <m:rPr>
                  <m:sty m:val="p"/>
                </m:rPr>
                <m:t>±</m:t>
              </m:r>
              <m:r>
                <m:t>1.73</m:t>
              </m:r>
            </m:oMath>
            <w:r>
              <w:t xml:space="preserve">​</w:t>
            </w:r>
          </w:p>
        </w:tc>
        <w:tc>
          <w:tcPr>
            <w:vAlign w:val="center"/>
          </w:tcPr>
          <w:p>
            <w:pPr>
              <w:pStyle w:val="MDPI42tablebody"/>
              <w:suppressAutoHyphens/>
              <w:jc w:val="center"/>
            </w:pPr>
            <m:oMath>
              <m:r>
                <m:rPr>
                  <m:sty m:val="p"/>
                </m:rPr>
                <m:t>−</m:t>
              </m:r>
              <m:r>
                <m:t>3.82</m:t>
              </m:r>
              <m:r>
                <m:rPr>
                  <m:sty m:val="p"/>
                </m:rPr>
                <m:t>±</m:t>
              </m:r>
              <m:r>
                <m:t>2.42</m:t>
              </m:r>
            </m:oMath>
            <w:r>
              <w:t xml:space="preserve">​</w:t>
            </w:r>
          </w:p>
        </w:tc>
        <w:tc>
          <w:tcPr>
            <w:vAlign w:val="center"/>
          </w:tcPr>
          <w:p>
            <w:pPr>
              <w:pStyle w:val="MDPI42tablebody"/>
              <w:suppressAutoHyphens/>
              <w:jc w:val="center"/>
            </w:pPr>
            <w:r>
              <w:t xml:space="preserve">40</w:t>
            </w:r>
          </w:p>
        </w:tc>
        <w:tc>
          <w:tcPr>
            <w:vAlign w:val="center"/>
          </w:tcPr>
          <w:p>
            <w:pPr>
              <w:pStyle w:val="MDPI42tablebody"/>
              <w:suppressAutoHyphens/>
              <w:jc w:val="center"/>
            </w:pPr>
            <w:r>
              <w:t xml:space="preserve">2818</w:t>
            </w:r>
          </w:p>
        </w:tc>
      </w:tr>
      <w:tr>
        <w:tc>
          <w:tcPr>
            <w:vAlign w:val="center"/>
          </w:tcPr>
          <w:p>
            <w:pPr>
              <w:pStyle w:val="MDPI42tablebody"/>
              <w:suppressAutoHyphens/>
              <w:jc w:val="center"/>
            </w:pPr>
            <w:r>
              <w:rPr>
                <w:rStyle w:val="VerbatimChar"/>
              </w:rPr>
              <w:t xml:space="preserve">sac</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2.43</m:t>
              </m:r>
              <m:r>
                <m:rPr>
                  <m:sty m:val="p"/>
                </m:rPr>
                <m:t>±</m:t>
              </m:r>
              <m:r>
                <m:t>1.33</m:t>
              </m:r>
            </m:oMath>
            <w:r>
              <w:t xml:space="preserve">​</w:t>
            </w:r>
          </w:p>
        </w:tc>
        <w:tc>
          <w:tcPr>
            <w:vAlign w:val="center"/>
          </w:tcPr>
          <w:p>
            <w:pPr>
              <w:pStyle w:val="MDPI42tablebody"/>
              <w:suppressAutoHyphens/>
              <w:jc w:val="center"/>
            </w:pPr>
            <m:oMath>
              <m:r>
                <m:rPr>
                  <m:sty m:val="p"/>
                </m:rPr>
                <m:t>−</m:t>
              </m:r>
              <m:r>
                <m:t>6.13</m:t>
              </m:r>
              <m:r>
                <m:rPr>
                  <m:sty m:val="p"/>
                </m:rPr>
                <m:t>±</m:t>
              </m:r>
              <m:r>
                <m:t>1.47</m:t>
              </m:r>
            </m:oMath>
            <w:r>
              <w:t xml:space="preserve">​</w:t>
            </w:r>
          </w:p>
        </w:tc>
        <w:tc>
          <w:tcPr>
            <w:vAlign w:val="center"/>
          </w:tcPr>
          <w:p>
            <w:pPr>
              <w:pStyle w:val="MDPI42tablebody"/>
              <w:suppressAutoHyphens/>
              <w:jc w:val="center"/>
            </w:pPr>
            <m:oMath>
              <m:r>
                <m:rPr>
                  <m:sty m:val="p"/>
                </m:rPr>
                <m:t>−</m:t>
              </m:r>
              <m:r>
                <m:t>2.99</m:t>
              </m:r>
              <m:r>
                <m:rPr>
                  <m:sty m:val="p"/>
                </m:rPr>
                <m:t>±</m:t>
              </m:r>
              <m:r>
                <m:t>1.61</m:t>
              </m:r>
            </m:oMath>
            <w:r>
              <w:t xml:space="preserve">​</w:t>
            </w:r>
          </w:p>
        </w:tc>
        <w:tc>
          <w:tcPr>
            <w:vAlign w:val="center"/>
          </w:tcPr>
          <w:p>
            <w:pPr>
              <w:pStyle w:val="MDPI42tablebody"/>
              <w:suppressAutoHyphens/>
              <w:jc w:val="center"/>
            </w:pPr>
            <m:oMath>
              <m:r>
                <m:rPr>
                  <m:sty m:val="p"/>
                </m:rPr>
                <m:t>−</m:t>
              </m:r>
              <m:r>
                <m:t>5.05</m:t>
              </m:r>
              <m:r>
                <m:rPr>
                  <m:sty m:val="p"/>
                </m:rPr>
                <m:t>±</m:t>
              </m:r>
              <m:r>
                <m:t>1.20</m:t>
              </m:r>
            </m:oMath>
            <w:r>
              <w:t xml:space="preserve">​</w:t>
            </w:r>
          </w:p>
        </w:tc>
        <w:tc>
          <w:tcPr>
            <w:vAlign w:val="center"/>
          </w:tcPr>
          <w:p>
            <w:pPr>
              <w:pStyle w:val="MDPI42tablebody"/>
              <w:suppressAutoHyphens/>
              <w:jc w:val="center"/>
            </w:pPr>
            <m:oMath>
              <m:r>
                <m:rPr>
                  <m:sty m:val="p"/>
                </m:rPr>
                <m:t>−</m:t>
              </m:r>
              <m:r>
                <m:t>4.15</m:t>
              </m:r>
              <m:r>
                <m:rPr>
                  <m:sty m:val="p"/>
                </m:rPr>
                <m:t>±</m:t>
              </m:r>
              <m:r>
                <m:t>2.05</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1689</w:t>
            </w:r>
          </w:p>
        </w:tc>
      </w:tr>
    </w:tbl>
    <w:bookmarkEnd w:id="47"/>
    <w:p>
      <w:pPr>
        <w:pStyle w:val="MDPI43tablefooter"/>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kept separate.</w:t>
      </w:r>
    </w:p>
    <w:bookmarkStart w:id="48" w:name="tab:wilcoxon"/>
    <w:p>
      <w:pPr>
        <w:pStyle w:val="MDPI41tablecaption"/>
      </w:pPr>
      <w:r>
        <w:rPr>
          <w:b/>
        </w:rPr>
        <w:t xml:space="preserve">Table 7. </w:t>
      </w:r>
      <w:r>
        <w:t xml:space="preserve">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left</w:t>
      </w:r>
      <w:r>
        <w:t xml:space="preserve"> </w:t>
      </w:r>
      <w:r>
        <w:t xml:space="preserve">block tests the</w:t>
      </w:r>
      <w:r>
        <w:t xml:space="preserve"> </w:t>
      </w:r>
      <m:oMath>
        <m:r>
          <m:t>n</m:t>
        </m:r>
      </m:oMath>
      <w:r>
        <w:t xml:space="preserve"> </w:t>
      </w:r>
      <w:r>
        <w:t xml:space="preserve">runs (seed</w:t>
      </w:r>
      <w:r>
        <w:t xml:space="preserve"> </w:t>
      </w:r>
      <m:oMath>
        <m:r>
          <m:rPr>
            <m:sty m:val="p"/>
          </m:rPr>
          <m:t>×</m:t>
        </m:r>
      </m:oMath>
      <w:r>
        <w:t xml:space="preserve"> </w:t>
      </w:r>
      <w:r>
        <w:t xml:space="preserve">season); the right block repeats the test on</w:t>
      </w:r>
      <w:r>
        <w:t xml:space="preserve"> </w:t>
      </w:r>
      <w:r>
        <w:t xml:space="preserve">per-seed four-season means (20 seeds, 10 for</w:t>
      </w:r>
      <w:r>
        <w:t xml:space="preserve"> </w:t>
      </w:r>
      <w:r>
        <w:rPr>
          <w:rStyle w:val="VerbatimChar"/>
        </w:rPr>
        <w:t xml:space="preserve">nn_mpc</w:t>
      </w:r>
      <w:r>
        <w:t xml:space="preserve">), the unit at which the</w:t>
      </w:r>
      <w:r>
        <w:t xml:space="preserve"> </w:t>
      </w:r>
      <w:r>
        <w:t xml:space="preserve">identified surrogates are independent (Section </w:t>
      </w:r>
      <w:hyperlink w:anchor="sec:stats">
        <w:r>
          <w:rPr>
            <w:rStyle w:val="Hyperlink"/>
          </w:rPr>
          <w:t xml:space="preserve">2.8</w:t>
        </w:r>
      </w:hyperlink>
      <w:r>
        <w:t xml:space="preserve">), with Holm over the same</w:t>
      </w:r>
      <w:r>
        <w:t xml:space="preserve"> </w:t>
      </w:r>
      <w:r>
        <w:t xml:space="preserve">family. The family size is a reporting choice and shifts every corrected level: adding the</w:t>
      </w:r>
      <w:r>
        <w:t xml:space="preserve"> </w:t>
      </w:r>
      <w:r>
        <w:t xml:space="preserve">two full-</w:t>
      </w:r>
      <w:r>
        <w:rPr>
          <w:rStyle w:val="VerbatimChar"/>
        </w:rPr>
        <w:t xml:space="preserve">physics</w:t>
      </w:r>
      <w:r>
        <w:t xml:space="preserve"> </w:t>
      </w:r>
      <w:r>
        <w:t xml:space="preserve">controllers raised all 13 pre-existing run-level values without</w:t>
      </w:r>
      <w:r>
        <w:t xml:space="preserve"> </w:t>
      </w:r>
      <w:r>
        <w:t xml:space="preserve">moving any of them across</w:t>
      </w:r>
      <w:r>
        <w:t xml:space="preserve"> </w:t>
      </w:r>
      <m:oMath>
        <m:r>
          <m:t>0.05</m:t>
        </m:r>
      </m:oMath>
      <w:r>
        <w:t xml:space="preserve">.</w:t>
      </w:r>
    </w:p>
    <w:tbl>
      <w:tblPr>
        <w:tblStyle w:val="MDPI41threelinetable"/>
        <w:tblW w:type="auto" w:w="0"/>
        <w:tblLook w:firstRow="0" w:lastRow="0" w:firstColumn="0" w:lastColumn="0" w:noHBand="0" w:noVBand="0" w:val="0000"/>
        <w:tblCaption w:val="Comparison against the tuned rule-based reference (priced objective). \Delta = \text{controller} - \text{tuned} in EUR m^{-2}; Wilcoxon signed-rank [33] with Holm correction [34] over a family of 15. The reference is deterministic, so this is a one-sample test against a constant. The left block tests the n runs (seed \times season); the right block repeats the test on per-seed four-season means (20 seeds, 10 for nn_mpc), the unit at which the identified surrogates are independent (Section 2.8), with Holm over the same family. The family size is a reporting choice and shifts every corrected level: adding the two full-physics controllers raised all 13 pre-existing run-level values without moving any of them across 0.05."/>
      </w:tblPr>
      <w:tblGrid>
        <w:gridCol w:w="1131"/>
        <w:gridCol w:w="1131"/>
        <w:gridCol w:w="1131"/>
        <w:gridCol w:w="1131"/>
        <w:gridCol w:w="1131"/>
        <w:gridCol w:w="1131"/>
        <w:gridCol w:w="1131"/>
      </w:tblGrid>
      <w:tr>
        <w:trPr>
          <w:tblHeader/>
        </w:trPr>
        <w:tc>
          <w:tcPr>
            <w:vAlign w:val="center"/>
          </w:tcPr>
          <w:p>
            <w:pPr>
              <w:pStyle w:val="MDPI42tablebody"/>
              <w:suppressAutoHyphens/>
              <w:jc w:val="center"/>
            </w:pPr>
          </w:p>
        </w:tc>
        <w:tc>
          <w:tcPr>
            <w:gridSpan w:val="4"/>
            <w:vAlign w:val="center"/>
          </w:tcPr>
          <w:p>
            <w:pPr>
              <w:pStyle w:val="MDPI42tablebody"/>
              <w:suppressAutoHyphens/>
              <w:jc w:val="center"/>
            </w:pPr>
            <w:r>
              <w:t xml:space="preserve">Runs</w:t>
            </w:r>
          </w:p>
        </w:tc>
        <w:tc>
          <w:tcPr>
            <w:gridSpan w:val="2"/>
            <w:vAlign w:val="center"/>
          </w:tcPr>
          <w:p>
            <w:pPr>
              <w:pStyle w:val="MDPI42tablebody"/>
              <w:suppressAutoHyphens/>
              <w:jc w:val="center"/>
            </w:pPr>
            <w:r>
              <w:t xml:space="preserve">Per-seed means</w:t>
            </w:r>
          </w:p>
        </w:tc>
      </w:tr>
      <w:tr>
        <w:tc>
          <w:tcPr>
            <w:vAlign w:val="center"/>
          </w:tcPr>
          <w:p>
            <w:pPr>
              <w:pStyle w:val="MDPI42tablebody"/>
              <w:suppressAutoHyphens/>
              <w:jc w:val="center"/>
            </w:pPr>
            <w:r>
              <w:t xml:space="preserve">Controller</w:t>
            </w:r>
          </w:p>
        </w:tc>
        <w:tc>
          <w:tcPr>
            <w:vAlign w:val="center"/>
          </w:tcPr>
          <w:p>
            <w:pPr>
              <w:pStyle w:val="MDPI42tablebody"/>
              <w:suppressAutoHyphens/>
              <w:jc w:val="center"/>
            </w:pPr>
            <m:oMath>
              <m:r>
                <m:rPr>
                  <m:sty m:val="p"/>
                </m:rPr>
                <m:t>Δ</m:t>
              </m:r>
            </m:oMath>
            <w:r>
              <w:t xml:space="preserve"> </w:t>
            </w:r>
            <w:r>
              <w:t xml:space="preserve">mean</w:t>
            </w:r>
          </w:p>
        </w:tc>
        <w:tc>
          <w:tcPr>
            <w:vAlign w:val="center"/>
          </w:tcPr>
          <w:p>
            <w:pPr>
              <w:pStyle w:val="MDPI42tablebody"/>
              <w:suppressAutoHyphens/>
              <w:jc w:val="center"/>
            </w:pPr>
            <m:oMath>
              <m:r>
                <m:rPr>
                  <m:sty m:val="p"/>
                </m:rPr>
                <m:t>Δ</m:t>
              </m:r>
            </m:oMath>
            <w:r>
              <w:t xml:space="preserve"> </w:t>
            </w:r>
            <w:r>
              <w:t xml:space="preserve">median</w:t>
            </w:r>
          </w:p>
        </w:tc>
        <w:tc>
          <w:tcPr>
            <w:vAlign w:val="center"/>
          </w:tcPr>
          <w:p>
            <w:pPr>
              <w:pStyle w:val="MDPI42tablebody"/>
              <w:suppressAutoHyphens/>
              <w:jc w:val="center"/>
            </w:pPr>
            <w:r>
              <w:t xml:space="preserve">Wins/</w:t>
            </w:r>
            <m:oMath>
              <m:r>
                <m:t>n</m:t>
              </m:r>
            </m:oMath>
          </w:p>
        </w:tc>
        <w:tc>
          <w:tcPr>
            <w:vAlign w:val="center"/>
          </w:tcPr>
          <w:p>
            <w:pPr>
              <w:pStyle w:val="MDPI42tablebody"/>
              <w:suppressAutoHyphens/>
              <w:jc w:val="center"/>
            </w:pPr>
            <m:oMath>
              <m:sSub>
                <m:e>
                  <m:r>
                    <m:t>p</m:t>
                  </m:r>
                </m:e>
                <m:sub>
                  <m:r>
                    <m:rPr>
                      <m:sty m:val="p"/>
                    </m:rPr>
                    <m:t>Holm</m:t>
                  </m:r>
                </m:sub>
              </m:sSub>
            </m:oMath>
            <w:r>
              <w:t xml:space="preserve">​</w:t>
            </w:r>
          </w:p>
        </w:tc>
        <w:tc>
          <w:tcPr>
            <w:vAlign w:val="center"/>
          </w:tcPr>
          <w:p>
            <w:pPr>
              <w:pStyle w:val="MDPI42tablebody"/>
              <w:suppressAutoHyphens/>
              <w:jc w:val="center"/>
            </w:pPr>
            <w:r>
              <w:t xml:space="preserve">Wins/seeds</w:t>
            </w:r>
          </w:p>
        </w:tc>
        <w:tc>
          <w:tcPr>
            <w:vAlign w:val="center"/>
          </w:tcPr>
          <w:p>
            <w:pPr>
              <w:pStyle w:val="MDPI42tablebody"/>
              <w:suppressAutoHyphens/>
              <w:jc w:val="center"/>
            </w:pPr>
            <m:oMath>
              <m:sSub>
                <m:e>
                  <m:r>
                    <m:t>p</m:t>
                  </m:r>
                </m:e>
                <m:sub>
                  <m:r>
                    <m:rPr>
                      <m:sty m:val="p"/>
                    </m:rPr>
                    <m:t>Holm</m:t>
                  </m:r>
                </m:sub>
              </m:sSub>
            </m:oMath>
            <w:r>
              <w:t xml:space="preserve">​</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m:oMath>
              <m:r>
                <m:rPr>
                  <m:sty m:val="p"/>
                </m:rPr>
                <m:t>+</m:t>
              </m:r>
              <m:r>
                <m:t>2.06</m:t>
              </m:r>
            </m:oMath>
            <w:r>
              <w:t xml:space="preserve">​</w:t>
            </w:r>
          </w:p>
        </w:tc>
        <w:tc>
          <w:tcPr>
            <w:vAlign w:val="center"/>
          </w:tcPr>
          <w:p>
            <w:pPr>
              <w:pStyle w:val="MDPI42tablebody"/>
              <w:suppressAutoHyphens/>
              <w:jc w:val="center"/>
            </w:pPr>
            <m:oMath>
              <m:r>
                <m:rPr>
                  <m:sty m:val="p"/>
                </m:rPr>
                <m:t>+</m:t>
              </m:r>
              <m:r>
                <m:t>2.85</m:t>
              </m:r>
            </m:oMath>
            <w:r>
              <w:t xml:space="preserve">​</w:t>
            </w:r>
          </w:p>
        </w:tc>
        <w:tc>
          <w:tcPr>
            <w:vAlign w:val="center"/>
          </w:tcPr>
          <w:p>
            <w:pPr>
              <w:pStyle w:val="MDPI42tablebody"/>
              <w:suppressAutoHyphens/>
              <w:jc w:val="center"/>
            </w:pPr>
            <w:r>
              <w:t xml:space="preserve">75/80</w:t>
            </w:r>
          </w:p>
        </w:tc>
        <w:tc>
          <w:tcPr>
            <w:vAlign w:val="center"/>
          </w:tcPr>
          <w:p>
            <w:pPr>
              <w:pStyle w:val="MDPI42tablebody"/>
              <w:suppressAutoHyphens/>
              <w:jc w:val="center"/>
            </w:pPr>
            <m:oMath>
              <m:r>
                <m:t>8.3</m:t>
              </m:r>
              <m:r>
                <m:rPr>
                  <m:sty m:val="p"/>
                </m:rPr>
                <m:t>×</m:t>
              </m:r>
              <m:sSup>
                <m:e>
                  <m:r>
                    <m:t>10</m:t>
                  </m:r>
                </m:e>
                <m:sup>
                  <m:r>
                    <m:rPr>
                      <m:sty m:val="p"/>
                    </m:rPr>
                    <m:t>−</m:t>
                  </m:r>
                  <m:r>
                    <m:t>11</m:t>
                  </m:r>
                </m:sup>
              </m:sSup>
            </m:oMath>
            <w:r>
              <w:t xml:space="preserve">​</w:t>
            </w:r>
          </w:p>
        </w:tc>
        <w:tc>
          <w:tcPr>
            <w:vAlign w:val="center"/>
          </w:tcPr>
          <w:p>
            <w:pPr>
              <w:pStyle w:val="MDPI42tablebody"/>
              <w:suppressAutoHyphens/>
              <w:jc w:val="center"/>
            </w:pPr>
            <w:r>
              <w:t xml:space="preserve">19/20</w:t>
            </w:r>
          </w:p>
        </w:tc>
        <w:tc>
          <w:tcPr>
            <w:vAlign w:val="center"/>
          </w:tcPr>
          <w:p>
            <w:pPr>
              <w:pStyle w:val="MDPI42tablebody"/>
              <w:suppressAutoHyphens/>
              <w:jc w:val="center"/>
            </w:pPr>
            <m:oMath>
              <m:r>
                <m:t>7.4</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m:oMath>
              <m:r>
                <m:rPr>
                  <m:sty m:val="p"/>
                </m:rPr>
                <m:t>+</m:t>
              </m:r>
              <m:r>
                <m:t>1.57</m:t>
              </m:r>
            </m:oMath>
            <w:r>
              <w:t xml:space="preserve">​</w:t>
            </w:r>
          </w:p>
        </w:tc>
        <w:tc>
          <w:tcPr>
            <w:vAlign w:val="center"/>
          </w:tcPr>
          <w:p>
            <w:pPr>
              <w:pStyle w:val="MDPI42tablebody"/>
              <w:suppressAutoHyphens/>
              <w:jc w:val="center"/>
            </w:pPr>
            <m:oMath>
              <m:r>
                <m:rPr>
                  <m:sty m:val="p"/>
                </m:rPr>
                <m:t>+</m:t>
              </m:r>
              <m:r>
                <m:t>2.83</m:t>
              </m:r>
            </m:oMath>
            <w:r>
              <w:t xml:space="preserve">​</w:t>
            </w:r>
          </w:p>
        </w:tc>
        <w:tc>
          <w:tcPr>
            <w:vAlign w:val="center"/>
          </w:tcPr>
          <w:p>
            <w:pPr>
              <w:pStyle w:val="MDPI42tablebody"/>
              <w:suppressAutoHyphens/>
              <w:jc w:val="center"/>
            </w:pPr>
            <w:r>
              <w:t xml:space="preserve">68/80</w:t>
            </w:r>
          </w:p>
        </w:tc>
        <w:tc>
          <w:tcPr>
            <w:vAlign w:val="center"/>
          </w:tcPr>
          <w:p>
            <w:pPr>
              <w:pStyle w:val="MDPI42tablebody"/>
              <w:suppressAutoHyphens/>
              <w:jc w:val="center"/>
            </w:pPr>
            <m:oMath>
              <m:r>
                <m:t>6.5</m:t>
              </m:r>
              <m:r>
                <m:rPr>
                  <m:sty m:val="p"/>
                </m:rPr>
                <m:t>×</m:t>
              </m:r>
              <m:sSup>
                <m:e>
                  <m:r>
                    <m:t>10</m:t>
                  </m:r>
                </m:e>
                <m:sup>
                  <m:r>
                    <m:rPr>
                      <m:sty m:val="p"/>
                    </m:rPr>
                    <m:t>−</m:t>
                  </m:r>
                  <m:r>
                    <m:t>7</m:t>
                  </m:r>
                </m:sup>
              </m:sSup>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t>0.044</m:t>
              </m:r>
            </m:oMath>
            <w:r>
              <w:t xml:space="preserve">​</w:t>
            </w:r>
          </w:p>
        </w:tc>
      </w:tr>
      <w:tr>
        <w:tc>
          <w:tcPr>
            <w:vAlign w:val="center"/>
          </w:tcPr>
          <w:p>
            <w:pPr>
              <w:pStyle w:val="MDPI42tablebody"/>
              <w:suppressAutoHyphens/>
              <w:jc w:val="center"/>
            </w:pPr>
            <w:r>
              <w:rPr>
                <w:rStyle w:val="VerbatimChar"/>
              </w:rPr>
              <w:t xml:space="preserve">sindy_mpc_lowthr</w:t>
            </w:r>
          </w:p>
        </w:tc>
        <w:tc>
          <w:tcPr>
            <w:vAlign w:val="center"/>
          </w:tcPr>
          <w:p>
            <w:pPr>
              <w:pStyle w:val="MDPI42tablebody"/>
              <w:suppressAutoHyphens/>
              <w:jc w:val="center"/>
            </w:pPr>
            <m:oMath>
              <m:r>
                <m:rPr>
                  <m:sty m:val="p"/>
                </m:rPr>
                <m:t>+</m:t>
              </m:r>
              <m:r>
                <m:t>0.83</m:t>
              </m:r>
            </m:oMath>
            <w:r>
              <w:t xml:space="preserve">​</w:t>
            </w:r>
          </w:p>
        </w:tc>
        <w:tc>
          <w:tcPr>
            <w:vAlign w:val="center"/>
          </w:tcPr>
          <w:p>
            <w:pPr>
              <w:pStyle w:val="MDPI42tablebody"/>
              <w:suppressAutoHyphens/>
              <w:jc w:val="center"/>
            </w:pPr>
            <m:oMath>
              <m:r>
                <m:rPr>
                  <m:sty m:val="p"/>
                </m:rPr>
                <m:t>+</m:t>
              </m:r>
              <m:r>
                <m:t>0.74</m:t>
              </m:r>
            </m:oMath>
            <w:r>
              <w:t xml:space="preserve">​</w:t>
            </w:r>
          </w:p>
        </w:tc>
        <w:tc>
          <w:tcPr>
            <w:vAlign w:val="center"/>
          </w:tcPr>
          <w:p>
            <w:pPr>
              <w:pStyle w:val="MDPI42tablebody"/>
              <w:suppressAutoHyphens/>
              <w:jc w:val="center"/>
            </w:pPr>
            <w:r>
              <w:t xml:space="preserve">51/80</w:t>
            </w:r>
          </w:p>
        </w:tc>
        <w:tc>
          <w:tcPr>
            <w:vAlign w:val="center"/>
          </w:tcPr>
          <w:p>
            <w:pPr>
              <w:pStyle w:val="MDPI42tablebody"/>
              <w:suppressAutoHyphens/>
              <w:jc w:val="center"/>
            </w:pPr>
            <m:oMath>
              <m:r>
                <m:t>7.0</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0.103</m:t>
              </m:r>
            </m:oMath>
            <w:r>
              <w:t xml:space="preserve"> </w:t>
            </w:r>
            <w:r>
              <w:t xml:space="preserve">(n.s.)</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m:oMath>
              <m:r>
                <m:rPr>
                  <m:sty m:val="p"/>
                </m:rPr>
                <m:t>+</m:t>
              </m:r>
              <m:r>
                <m:t>0.82</m:t>
              </m:r>
            </m:oMath>
            <w:r>
              <w:t xml:space="preserve">​</w:t>
            </w:r>
          </w:p>
        </w:tc>
        <w:tc>
          <w:tcPr>
            <w:vAlign w:val="center"/>
          </w:tcPr>
          <w:p>
            <w:pPr>
              <w:pStyle w:val="MDPI42tablebody"/>
              <w:suppressAutoHyphens/>
              <w:jc w:val="center"/>
            </w:pPr>
            <m:oMath>
              <m:r>
                <m:rPr>
                  <m:sty m:val="p"/>
                </m:rPr>
                <m:t>+</m:t>
              </m:r>
              <m:r>
                <m:t>0.69</m:t>
              </m:r>
            </m:oMath>
            <w:r>
              <w:t xml:space="preserve">​</w:t>
            </w:r>
          </w:p>
        </w:tc>
        <w:tc>
          <w:tcPr>
            <w:vAlign w:val="center"/>
          </w:tcPr>
          <w:p>
            <w:pPr>
              <w:pStyle w:val="MDPI42tablebody"/>
              <w:suppressAutoHyphens/>
              <w:jc w:val="center"/>
            </w:pPr>
            <w:r>
              <w:t xml:space="preserve">51/80</w:t>
            </w:r>
          </w:p>
        </w:tc>
        <w:tc>
          <w:tcPr>
            <w:vAlign w:val="center"/>
          </w:tcPr>
          <w:p>
            <w:pPr>
              <w:pStyle w:val="MDPI42tablebody"/>
              <w:suppressAutoHyphens/>
              <w:jc w:val="center"/>
            </w:pPr>
            <m:oMath>
              <m:r>
                <m:t>7.0</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0.103</m:t>
              </m:r>
            </m:oMath>
            <w:r>
              <w:t xml:space="preserve"> </w:t>
            </w:r>
            <w:r>
              <w:t xml:space="preserve">(n.s.)</w:t>
            </w:r>
          </w:p>
        </w:tc>
      </w:tr>
      <w:tr>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m:oMath>
              <m:r>
                <m:rPr>
                  <m:sty m:val="p"/>
                </m:rPr>
                <m:t>+</m:t>
              </m:r>
              <m:r>
                <m:t>0.49</m:t>
              </m:r>
            </m:oMath>
            <w:r>
              <w:t xml:space="preserve">​</w:t>
            </w:r>
          </w:p>
        </w:tc>
        <w:tc>
          <w:tcPr>
            <w:vAlign w:val="center"/>
          </w:tcPr>
          <w:p>
            <w:pPr>
              <w:pStyle w:val="MDPI42tablebody"/>
              <w:suppressAutoHyphens/>
              <w:jc w:val="center"/>
            </w:pPr>
            <m:oMath>
              <m:r>
                <m:rPr>
                  <m:sty m:val="p"/>
                </m:rPr>
                <m:t>+</m:t>
              </m:r>
              <m:r>
                <m:t>0.25</m:t>
              </m:r>
            </m:oMath>
            <w:r>
              <w:t xml:space="preserve">​</w:t>
            </w:r>
          </w:p>
        </w:tc>
        <w:tc>
          <w:tcPr>
            <w:vAlign w:val="center"/>
          </w:tcPr>
          <w:p>
            <w:pPr>
              <w:pStyle w:val="MDPI42tablebody"/>
              <w:suppressAutoHyphens/>
              <w:jc w:val="center"/>
            </w:pPr>
            <w:r>
              <w:t xml:space="preserve">41/80</w:t>
            </w:r>
          </w:p>
        </w:tc>
        <w:tc>
          <w:tcPr>
            <w:vAlign w:val="center"/>
          </w:tcPr>
          <w:p>
            <w:pPr>
              <w:pStyle w:val="MDPI42tablebody"/>
              <w:suppressAutoHyphens/>
              <w:jc w:val="center"/>
            </w:pPr>
            <m:oMath>
              <m:r>
                <m:t>0.176</m:t>
              </m:r>
            </m:oMath>
            <w:r>
              <w:t xml:space="preserve"> </w:t>
            </w:r>
            <w:r>
              <w:t xml:space="preserve">(n.s.)</w:t>
            </w:r>
          </w:p>
        </w:tc>
        <w:tc>
          <w:tcPr>
            <w:vAlign w:val="center"/>
          </w:tcPr>
          <w:p>
            <w:pPr>
              <w:pStyle w:val="MDPI42tablebody"/>
              <w:suppressAutoHyphens/>
              <w:jc w:val="center"/>
            </w:pPr>
            <w:r>
              <w:t xml:space="preserve">14/20</w:t>
            </w:r>
          </w:p>
        </w:tc>
        <w:tc>
          <w:tcPr>
            <w:vAlign w:val="center"/>
          </w:tcPr>
          <w:p>
            <w:pPr>
              <w:pStyle w:val="MDPI42tablebody"/>
              <w:suppressAutoHyphens/>
              <w:jc w:val="center"/>
            </w:pPr>
            <m:oMath>
              <m:r>
                <m:t>0.53</m:t>
              </m:r>
            </m:oMath>
            <w:r>
              <w:t xml:space="preserve"> </w:t>
            </w:r>
            <w:r>
              <w:t xml:space="preserve">(n.s.)</w:t>
            </w:r>
          </w:p>
        </w:tc>
      </w:tr>
      <w:tr>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m:oMath>
              <m:r>
                <m:rPr>
                  <m:sty m:val="p"/>
                </m:rPr>
                <m:t>+</m:t>
              </m:r>
              <m:r>
                <m:t>0.21</m:t>
              </m:r>
            </m:oMath>
            <w:r>
              <w:t xml:space="preserve">​</w:t>
            </w:r>
          </w:p>
        </w:tc>
        <w:tc>
          <w:tcPr>
            <w:vAlign w:val="center"/>
          </w:tcPr>
          <w:p>
            <w:pPr>
              <w:pStyle w:val="MDPI42tablebody"/>
              <w:suppressAutoHyphens/>
              <w:jc w:val="center"/>
            </w:pPr>
            <m:oMath>
              <m:r>
                <m:rPr>
                  <m:sty m:val="p"/>
                </m:rPr>
                <m:t>+</m:t>
              </m:r>
              <m:r>
                <m:t>0.29</m:t>
              </m:r>
            </m:oMath>
            <w:r>
              <w:t xml:space="preserve">​</w:t>
            </w:r>
          </w:p>
        </w:tc>
        <w:tc>
          <w:tcPr>
            <w:vAlign w:val="center"/>
          </w:tcPr>
          <w:p>
            <w:pPr>
              <w:pStyle w:val="MDPI42tablebody"/>
              <w:suppressAutoHyphens/>
              <w:jc w:val="center"/>
            </w:pPr>
            <w:r>
              <w:t xml:space="preserve">44/80</w:t>
            </w:r>
          </w:p>
        </w:tc>
        <w:tc>
          <w:tcPr>
            <w:vAlign w:val="center"/>
          </w:tcPr>
          <w:p>
            <w:pPr>
              <w:pStyle w:val="MDPI42tablebody"/>
              <w:suppressAutoHyphens/>
              <w:jc w:val="center"/>
            </w:pPr>
            <m:oMath>
              <m:r>
                <m:t>0.334</m:t>
              </m:r>
            </m:oMath>
            <w:r>
              <w:t xml:space="preserve"> </w:t>
            </w:r>
            <w:r>
              <w:t xml:space="preserve">(n.s.)</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0.94</m:t>
              </m:r>
            </m:oMath>
            <w:r>
              <w:t xml:space="preserve"> </w:t>
            </w:r>
            <w:r>
              <w:t xml:space="preserve">(n.s.)</w:t>
            </w:r>
          </w:p>
        </w:tc>
      </w:tr>
      <w:tr>
        <w:tc>
          <w:tcPr>
            <w:vAlign w:val="center"/>
          </w:tcPr>
          <w:p>
            <w:pPr>
              <w:pStyle w:val="MDPI42tablebody"/>
              <w:suppressAutoHyphens/>
              <w:jc w:val="center"/>
            </w:pPr>
            <w:r>
              <w:rPr>
                <w:rStyle w:val="VerbatimChar"/>
              </w:rPr>
              <w:t xml:space="preserve">sindy_mpc_conf_dagger</w:t>
            </w:r>
          </w:p>
        </w:tc>
        <w:tc>
          <w:tcPr>
            <w:vAlign w:val="center"/>
          </w:tcPr>
          <w:p>
            <w:pPr>
              <w:pStyle w:val="MDPI42tablebody"/>
              <w:suppressAutoHyphens/>
              <w:jc w:val="center"/>
            </w:pPr>
            <m:oMath>
              <m:r>
                <m:rPr>
                  <m:sty m:val="p"/>
                </m:rPr>
                <m:t>−</m:t>
              </m:r>
              <m:r>
                <m:t>0.60</m:t>
              </m:r>
            </m:oMath>
            <w:r>
              <w:t xml:space="preserve">​</w:t>
            </w:r>
          </w:p>
        </w:tc>
        <w:tc>
          <w:tcPr>
            <w:vAlign w:val="center"/>
          </w:tcPr>
          <w:p>
            <w:pPr>
              <w:pStyle w:val="MDPI42tablebody"/>
              <w:suppressAutoHyphens/>
              <w:jc w:val="center"/>
            </w:pPr>
            <m:oMath>
              <m:r>
                <m:rPr>
                  <m:sty m:val="p"/>
                </m:rPr>
                <m:t>−</m:t>
              </m:r>
              <m:r>
                <m:t>0.84</m:t>
              </m:r>
            </m:oMath>
            <w:r>
              <w:t xml:space="preserve">​</w:t>
            </w:r>
          </w:p>
        </w:tc>
        <w:tc>
          <w:tcPr>
            <w:vAlign w:val="center"/>
          </w:tcPr>
          <w:p>
            <w:pPr>
              <w:pStyle w:val="MDPI42tablebody"/>
              <w:suppressAutoHyphens/>
              <w:jc w:val="center"/>
            </w:pPr>
            <w:r>
              <w:t xml:space="preserve">31/80</w:t>
            </w:r>
          </w:p>
        </w:tc>
        <w:tc>
          <w:tcPr>
            <w:vAlign w:val="center"/>
          </w:tcPr>
          <w:p>
            <w:pPr>
              <w:pStyle w:val="MDPI42tablebody"/>
              <w:suppressAutoHyphens/>
              <w:jc w:val="center"/>
            </w:pPr>
            <m:oMath>
              <m:r>
                <m:t>0.334</m:t>
              </m:r>
            </m:oMath>
            <w:r>
              <w:t xml:space="preserve"> </w:t>
            </w:r>
            <w:r>
              <w:t xml:space="preserve">(n.s.)</w:t>
            </w:r>
          </w:p>
        </w:tc>
        <w:tc>
          <w:tcPr>
            <w:vAlign w:val="center"/>
          </w:tcPr>
          <w:p>
            <w:pPr>
              <w:pStyle w:val="MDPI42tablebody"/>
              <w:suppressAutoHyphens/>
              <w:jc w:val="center"/>
            </w:pPr>
            <w:r>
              <w:t xml:space="preserve">9/20</w:t>
            </w:r>
          </w:p>
        </w:tc>
        <w:tc>
          <w:tcPr>
            <w:vAlign w:val="center"/>
          </w:tcPr>
          <w:p>
            <w:pPr>
              <w:pStyle w:val="MDPI42tablebody"/>
              <w:suppressAutoHyphens/>
              <w:jc w:val="center"/>
            </w:pPr>
            <m:oMath>
              <m:r>
                <m:t>0.94</m:t>
              </m:r>
            </m:oMath>
            <w:r>
              <w:t xml:space="preserve"> </w:t>
            </w:r>
            <w:r>
              <w:t xml:space="preserve">(n.s.)</w:t>
            </w:r>
          </w:p>
        </w:tc>
      </w:tr>
      <w:tr>
        <w:tc>
          <w:tcPr>
            <w:vAlign w:val="center"/>
          </w:tcPr>
          <w:p>
            <w:pPr>
              <w:pStyle w:val="MDPI42tablebody"/>
              <w:suppressAutoHyphens/>
              <w:jc w:val="center"/>
            </w:pPr>
            <w:r>
              <w:rPr>
                <w:rStyle w:val="VerbatimChar"/>
              </w:rPr>
              <w:t xml:space="preserve">sindy_mpc_dense_dagger</w:t>
            </w:r>
          </w:p>
        </w:tc>
        <w:tc>
          <w:tcPr>
            <w:vAlign w:val="center"/>
          </w:tcPr>
          <w:p>
            <w:pPr>
              <w:pStyle w:val="MDPI42tablebody"/>
              <w:suppressAutoHyphens/>
              <w:jc w:val="center"/>
            </w:pPr>
            <m:oMath>
              <m:r>
                <m:rPr>
                  <m:sty m:val="p"/>
                </m:rPr>
                <m:t>−</m:t>
              </m:r>
              <m:r>
                <m:t>0.89</m:t>
              </m:r>
            </m:oMath>
            <w:r>
              <w:t xml:space="preserve">​</w:t>
            </w:r>
          </w:p>
        </w:tc>
        <w:tc>
          <w:tcPr>
            <w:vAlign w:val="center"/>
          </w:tcPr>
          <w:p>
            <w:pPr>
              <w:pStyle w:val="MDPI42tablebody"/>
              <w:suppressAutoHyphens/>
              <w:jc w:val="center"/>
            </w:pPr>
            <m:oMath>
              <m:r>
                <m:rPr>
                  <m:sty m:val="p"/>
                </m:rPr>
                <m:t>−</m:t>
              </m:r>
              <m:r>
                <m:t>0.79</m:t>
              </m:r>
            </m:oMath>
            <w:r>
              <w:t xml:space="preserve">​</w:t>
            </w:r>
          </w:p>
        </w:tc>
        <w:tc>
          <w:tcPr>
            <w:vAlign w:val="center"/>
          </w:tcPr>
          <w:p>
            <w:pPr>
              <w:pStyle w:val="MDPI42tablebody"/>
              <w:suppressAutoHyphens/>
              <w:jc w:val="center"/>
            </w:pPr>
            <w:r>
              <w:t xml:space="preserve">23/80</w:t>
            </w:r>
          </w:p>
        </w:tc>
        <w:tc>
          <w:tcPr>
            <w:vAlign w:val="center"/>
          </w:tcPr>
          <w:p>
            <w:pPr>
              <w:pStyle w:val="MDPI42tablebody"/>
              <w:suppressAutoHyphens/>
              <w:jc w:val="center"/>
            </w:pPr>
            <m:oMath>
              <m:r>
                <m:t>1.2</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5/20</w:t>
            </w:r>
          </w:p>
        </w:tc>
        <w:tc>
          <w:tcPr>
            <w:vAlign w:val="center"/>
          </w:tcPr>
          <w:p>
            <w:pPr>
              <w:pStyle w:val="MDPI42tablebody"/>
              <w:suppressAutoHyphens/>
              <w:jc w:val="center"/>
            </w:pPr>
            <m:oMath>
              <m:r>
                <m:t>0.075</m:t>
              </m:r>
            </m:oMath>
            <w:r>
              <w:t xml:space="preserve"> </w:t>
            </w:r>
            <w:r>
              <w:t xml:space="preserve">(n.s.)</w:t>
            </w:r>
          </w:p>
        </w:tc>
      </w:tr>
      <w:tr>
        <w:tc>
          <w:tcPr>
            <w:vAlign w:val="center"/>
          </w:tcPr>
          <w:p>
            <w:pPr>
              <w:pStyle w:val="MDPI42tablebody"/>
              <w:suppressAutoHyphens/>
              <w:jc w:val="center"/>
            </w:pPr>
            <w:r>
              <w:rPr>
                <w:rStyle w:val="VerbatimChar"/>
              </w:rPr>
              <w:t xml:space="preserve">ppo</w:t>
            </w:r>
          </w:p>
        </w:tc>
        <w:tc>
          <w:tcPr>
            <w:vAlign w:val="center"/>
          </w:tcPr>
          <w:p>
            <w:pPr>
              <w:pStyle w:val="MDPI42tablebody"/>
              <w:suppressAutoHyphens/>
              <w:jc w:val="center"/>
            </w:pPr>
            <m:oMath>
              <m:r>
                <m:rPr>
                  <m:sty m:val="p"/>
                </m:rPr>
                <m:t>−</m:t>
              </m:r>
              <m:r>
                <m:t>1.81</m:t>
              </m:r>
            </m:oMath>
            <w:r>
              <w:t xml:space="preserve">​</w:t>
            </w:r>
          </w:p>
        </w:tc>
        <w:tc>
          <w:tcPr>
            <w:vAlign w:val="center"/>
          </w:tcPr>
          <w:p>
            <w:pPr>
              <w:pStyle w:val="MDPI42tablebody"/>
              <w:suppressAutoHyphens/>
              <w:jc w:val="center"/>
            </w:pPr>
            <m:oMath>
              <m:r>
                <m:rPr>
                  <m:sty m:val="p"/>
                </m:rPr>
                <m:t>−</m:t>
              </m:r>
              <m:r>
                <m:t>1.78</m:t>
              </m:r>
            </m:oMath>
            <w:r>
              <w:t xml:space="preserve">​</w:t>
            </w:r>
          </w:p>
        </w:tc>
        <w:tc>
          <w:tcPr>
            <w:vAlign w:val="center"/>
          </w:tcPr>
          <w:p>
            <w:pPr>
              <w:pStyle w:val="MDPI42tablebody"/>
              <w:suppressAutoHyphens/>
              <w:jc w:val="center"/>
            </w:pPr>
            <w:r>
              <w:t xml:space="preserve">11/80</w:t>
            </w:r>
          </w:p>
        </w:tc>
        <w:tc>
          <w:tcPr>
            <w:vAlign w:val="center"/>
          </w:tcPr>
          <w:p>
            <w:pPr>
              <w:pStyle w:val="MDPI42tablebody"/>
              <w:suppressAutoHyphens/>
              <w:jc w:val="center"/>
            </w:pPr>
            <m:oMath>
              <m:r>
                <m:t>2.3</m:t>
              </m:r>
              <m:r>
                <m:rPr>
                  <m:sty m:val="p"/>
                </m:rPr>
                <m:t>×</m:t>
              </m:r>
              <m:sSup>
                <m:e>
                  <m:r>
                    <m:t>10</m:t>
                  </m:r>
                </m:e>
                <m:sup>
                  <m:r>
                    <m:rPr>
                      <m:sty m:val="p"/>
                    </m:rPr>
                    <m:t>−</m:t>
                  </m:r>
                  <m:r>
                    <m:t>10</m:t>
                  </m:r>
                </m:sup>
              </m:sSup>
            </m:oMath>
            <w:r>
              <w:t xml:space="preserve">​</w:t>
            </w:r>
          </w:p>
        </w:tc>
        <w:tc>
          <w:tcPr>
            <w:vAlign w:val="center"/>
          </w:tcPr>
          <w:p>
            <w:pPr>
              <w:pStyle w:val="MDPI42tablebody"/>
              <w:suppressAutoHyphens/>
              <w:jc w:val="center"/>
            </w:pPr>
            <w:r>
              <w:t xml:space="preserve">1/20</w:t>
            </w:r>
          </w:p>
        </w:tc>
        <w:tc>
          <w:tcPr>
            <w:vAlign w:val="center"/>
          </w:tcPr>
          <w:p>
            <w:pPr>
              <w:pStyle w:val="MDPI42tablebody"/>
              <w:suppressAutoHyphens/>
              <w:jc w:val="center"/>
            </w:pPr>
            <m:oMath>
              <m:r>
                <m:t>1.1</m:t>
              </m:r>
              <m:r>
                <m:rPr>
                  <m:sty m:val="p"/>
                </m:rPr>
                <m:t>×</m:t>
              </m:r>
              <m:sSup>
                <m:e>
                  <m:r>
                    <m:t>10</m:t>
                  </m:r>
                </m:e>
                <m:sup>
                  <m:r>
                    <m:rPr>
                      <m:sty m:val="p"/>
                    </m:rPr>
                    <m:t>−</m:t>
                  </m:r>
                  <m:r>
                    <m:t>4</m:t>
                  </m:r>
                </m:sup>
              </m:sSup>
            </m:oMath>
            <w:r>
              <w:t xml:space="preserve">​</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m:oMath>
              <m:r>
                <m:rPr>
                  <m:sty m:val="p"/>
                </m:rPr>
                <m:t>−</m:t>
              </m:r>
              <m:r>
                <m:t>1.98</m:t>
              </m:r>
            </m:oMath>
            <w:r>
              <w:t xml:space="preserve">​</w:t>
            </w:r>
          </w:p>
        </w:tc>
        <w:tc>
          <w:tcPr>
            <w:vAlign w:val="center"/>
          </w:tcPr>
          <w:p>
            <w:pPr>
              <w:pStyle w:val="MDPI42tablebody"/>
              <w:suppressAutoHyphens/>
              <w:jc w:val="center"/>
            </w:pPr>
            <m:oMath>
              <m:r>
                <m:rPr>
                  <m:sty m:val="p"/>
                </m:rPr>
                <m:t>−</m:t>
              </m:r>
              <m:r>
                <m:t>1.91</m:t>
              </m:r>
            </m:oMath>
            <w:r>
              <w:t xml:space="preserve">​</w:t>
            </w:r>
          </w:p>
        </w:tc>
        <w:tc>
          <w:tcPr>
            <w:vAlign w:val="center"/>
          </w:tcPr>
          <w:p>
            <w:pPr>
              <w:pStyle w:val="MDPI42tablebody"/>
              <w:suppressAutoHyphens/>
              <w:jc w:val="center"/>
            </w:pPr>
            <w:r>
              <w:t xml:space="preserve">29/80</w:t>
            </w:r>
          </w:p>
        </w:tc>
        <w:tc>
          <w:tcPr>
            <w:vAlign w:val="center"/>
          </w:tcPr>
          <w:p>
            <w:pPr>
              <w:pStyle w:val="MDPI42tablebody"/>
              <w:suppressAutoHyphens/>
              <w:jc w:val="center"/>
            </w:pPr>
            <m:oMath>
              <m:r>
                <m:t>6.8</m:t>
              </m:r>
              <m:r>
                <m:rPr>
                  <m:sty m:val="p"/>
                </m:rPr>
                <m:t>×</m:t>
              </m:r>
              <m:sSup>
                <m:e>
                  <m:r>
                    <m:t>10</m:t>
                  </m:r>
                </m:e>
                <m:sup>
                  <m:r>
                    <m:rPr>
                      <m:sty m:val="p"/>
                    </m:rPr>
                    <m:t>−</m:t>
                  </m:r>
                  <m:r>
                    <m:t>5</m:t>
                  </m:r>
                </m:sup>
              </m:sSup>
            </m:oMath>
            <w:r>
              <w:t xml:space="preserve">​</w:t>
            </w:r>
          </w:p>
        </w:tc>
        <w:tc>
          <w:tcPr>
            <w:vAlign w:val="center"/>
          </w:tcPr>
          <w:p>
            <w:pPr>
              <w:pStyle w:val="MDPI42tablebody"/>
              <w:suppressAutoHyphens/>
              <w:jc w:val="center"/>
            </w:pPr>
            <w:r>
              <w:t xml:space="preserve">7/20</w:t>
            </w:r>
          </w:p>
        </w:tc>
        <w:tc>
          <w:tcPr>
            <w:vAlign w:val="center"/>
          </w:tcPr>
          <w:p>
            <w:pPr>
              <w:pStyle w:val="MDPI42tablebody"/>
              <w:suppressAutoHyphens/>
              <w:jc w:val="center"/>
            </w:pPr>
            <m:oMath>
              <m:r>
                <m:t>0.058</m:t>
              </m:r>
            </m:oMath>
            <w:r>
              <w:t xml:space="preserve"> </w:t>
            </w:r>
            <w:r>
              <w:t xml:space="preserve">(n.s.)</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m:oMath>
              <m:r>
                <m:rPr>
                  <m:sty m:val="p"/>
                </m:rPr>
                <m:t>−</m:t>
              </m:r>
              <m:r>
                <m:t>3.47</m:t>
              </m:r>
            </m:oMath>
            <w:r>
              <w:t xml:space="preserve">​</w:t>
            </w:r>
          </w:p>
        </w:tc>
        <w:tc>
          <w:tcPr>
            <w:vAlign w:val="center"/>
          </w:tcPr>
          <w:p>
            <w:pPr>
              <w:pStyle w:val="MDPI42tablebody"/>
              <w:suppressAutoHyphens/>
              <w:jc w:val="center"/>
            </w:pPr>
            <m:oMath>
              <m:r>
                <m:rPr>
                  <m:sty m:val="p"/>
                </m:rPr>
                <m:t>−</m:t>
              </m:r>
              <m:r>
                <m:t>3.32</m:t>
              </m:r>
            </m:oMath>
            <w:r>
              <w:t xml:space="preserve">​</w:t>
            </w:r>
          </w:p>
        </w:tc>
        <w:tc>
          <w:tcPr>
            <w:vAlign w:val="center"/>
          </w:tcPr>
          <w:p>
            <w:pPr>
              <w:pStyle w:val="MDPI42tablebody"/>
              <w:suppressAutoHyphens/>
              <w:jc w:val="center"/>
            </w:pPr>
            <w:r>
              <w:t xml:space="preserve">0/80</w:t>
            </w:r>
          </w:p>
        </w:tc>
        <w:tc>
          <w:tcPr>
            <w:vAlign w:val="center"/>
          </w:tcPr>
          <w:p>
            <w:pPr>
              <w:pStyle w:val="MDPI42tablebody"/>
              <w:suppressAutoHyphens/>
              <w:jc w:val="center"/>
            </w:pPr>
            <m:oMath>
              <m:r>
                <m:t>7.3</m:t>
              </m:r>
              <m:r>
                <m:rPr>
                  <m:sty m:val="p"/>
                </m:rPr>
                <m:t>×</m:t>
              </m:r>
              <m:sSup>
                <m:e>
                  <m:r>
                    <m:t>10</m:t>
                  </m:r>
                </m:e>
                <m:sup>
                  <m:r>
                    <m:rPr>
                      <m:sty m:val="p"/>
                    </m:rPr>
                    <m:t>−</m:t>
                  </m:r>
                  <m:r>
                    <m:t>14</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9.3</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oracle_mpc</w:t>
            </w:r>
          </w:p>
        </w:tc>
        <w:tc>
          <w:tcPr>
            <w:vAlign w:val="center"/>
          </w:tcPr>
          <w:p>
            <w:pPr>
              <w:pStyle w:val="MDPI42tablebody"/>
              <w:suppressAutoHyphens/>
              <w:jc w:val="center"/>
            </w:pPr>
            <m:oMath>
              <m:r>
                <m:rPr>
                  <m:sty m:val="p"/>
                </m:rPr>
                <m:t>−</m:t>
              </m:r>
              <m:r>
                <m:t>4.73</m:t>
              </m:r>
            </m:oMath>
            <w:r>
              <w:t xml:space="preserve">​</w:t>
            </w:r>
          </w:p>
        </w:tc>
        <w:tc>
          <w:tcPr>
            <w:vAlign w:val="center"/>
          </w:tcPr>
          <w:p>
            <w:pPr>
              <w:pStyle w:val="MDPI42tablebody"/>
              <w:suppressAutoHyphens/>
              <w:jc w:val="center"/>
            </w:pPr>
            <m:oMath>
              <m:r>
                <m:rPr>
                  <m:sty m:val="p"/>
                </m:rPr>
                <m:t>−</m:t>
              </m:r>
              <m:r>
                <m:t>4.79</m:t>
              </m:r>
            </m:oMath>
            <w:r>
              <w:t xml:space="preserve">​</w:t>
            </w:r>
          </w:p>
        </w:tc>
        <w:tc>
          <w:tcPr>
            <w:vAlign w:val="center"/>
          </w:tcPr>
          <w:p>
            <w:pPr>
              <w:pStyle w:val="MDPI42tablebody"/>
              <w:suppressAutoHyphens/>
              <w:jc w:val="center"/>
            </w:pPr>
            <w:r>
              <w:t xml:space="preserve">0/60</w:t>
            </w:r>
          </w:p>
        </w:tc>
        <w:tc>
          <w:tcPr>
            <w:vAlign w:val="center"/>
          </w:tcPr>
          <w:p>
            <w:pPr>
              <w:pStyle w:val="MDPI42tablebody"/>
              <w:suppressAutoHyphens/>
              <w:jc w:val="center"/>
            </w:pPr>
            <m:oMath>
              <m:r>
                <m:t>1.8</m:t>
              </m:r>
              <m:r>
                <m:rPr>
                  <m:sty m:val="p"/>
                </m:rPr>
                <m:t>×</m:t>
              </m:r>
              <m:sSup>
                <m:e>
                  <m:r>
                    <m:t>10</m:t>
                  </m:r>
                </m:e>
                <m:sup>
                  <m:r>
                    <m:rPr>
                      <m:sty m:val="p"/>
                    </m:rPr>
                    <m:t>−</m:t>
                  </m:r>
                  <m:r>
                    <m:t>10</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2.9</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nn_mpc</w:t>
            </w:r>
          </w:p>
        </w:tc>
        <w:tc>
          <w:tcPr>
            <w:vAlign w:val="center"/>
          </w:tcPr>
          <w:p>
            <w:pPr>
              <w:pStyle w:val="MDPI42tablebody"/>
              <w:suppressAutoHyphens/>
              <w:jc w:val="center"/>
            </w:pPr>
            <m:oMath>
              <m:r>
                <m:rPr>
                  <m:sty m:val="p"/>
                </m:rPr>
                <m:t>−</m:t>
              </m:r>
              <m:r>
                <m:t>6.08</m:t>
              </m:r>
            </m:oMath>
            <w:r>
              <w:t xml:space="preserve">​</w:t>
            </w:r>
          </w:p>
        </w:tc>
        <w:tc>
          <w:tcPr>
            <w:vAlign w:val="center"/>
          </w:tcPr>
          <w:p>
            <w:pPr>
              <w:pStyle w:val="MDPI42tablebody"/>
              <w:suppressAutoHyphens/>
              <w:jc w:val="center"/>
            </w:pPr>
            <m:oMath>
              <m:r>
                <m:rPr>
                  <m:sty m:val="p"/>
                </m:rPr>
                <m:t>−</m:t>
              </m:r>
              <m:r>
                <m:t>5.52</m:t>
              </m:r>
            </m:oMath>
            <w:r>
              <w:t xml:space="preserve">​</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t>2.4</m:t>
              </m:r>
              <m:r>
                <m:rPr>
                  <m:sty m:val="p"/>
                </m:rPr>
                <m:t>×</m:t>
              </m:r>
              <m:sSup>
                <m:e>
                  <m:r>
                    <m:t>10</m:t>
                  </m:r>
                </m:e>
                <m:sup>
                  <m:r>
                    <m:rPr>
                      <m:sty m:val="p"/>
                    </m:rPr>
                    <m:t>−</m:t>
                  </m:r>
                  <m:r>
                    <m:t>11</m:t>
                  </m:r>
                </m:sup>
              </m:sSup>
            </m:oMath>
            <w:r>
              <w:t xml:space="preserve">​</w:t>
            </w:r>
          </w:p>
        </w:tc>
        <w:tc>
          <w:tcPr>
            <w:vAlign w:val="center"/>
          </w:tcPr>
          <w:p>
            <w:pPr>
              <w:pStyle w:val="MDPI42tablebody"/>
              <w:suppressAutoHyphens/>
              <w:jc w:val="center"/>
            </w:pPr>
            <w:r>
              <w:t xml:space="preserve">0/10</w:t>
            </w:r>
          </w:p>
        </w:tc>
        <w:tc>
          <w:tcPr>
            <w:vAlign w:val="center"/>
          </w:tcPr>
          <w:p>
            <w:pPr>
              <w:pStyle w:val="MDPI42tablebody"/>
              <w:suppressAutoHyphens/>
              <w:jc w:val="center"/>
            </w:pPr>
            <m:oMath>
              <m:r>
                <m:t>0.020</m:t>
              </m:r>
            </m:oMath>
            <w:r>
              <w:t xml:space="preserve">​</w:t>
            </w:r>
          </w:p>
        </w:tc>
      </w:tr>
      <w:tr>
        <w:tc>
          <w:tcPr>
            <w:vAlign w:val="center"/>
          </w:tcPr>
          <w:p>
            <w:pPr>
              <w:pStyle w:val="MDPI42tablebody"/>
              <w:suppressAutoHyphens/>
              <w:jc w:val="center"/>
            </w:pPr>
            <w:r>
              <w:rPr>
                <w:rStyle w:val="VerbatimChar"/>
              </w:rPr>
              <w:t xml:space="preserve">sac</w:t>
            </w:r>
          </w:p>
        </w:tc>
        <w:tc>
          <w:tcPr>
            <w:vAlign w:val="center"/>
          </w:tcPr>
          <w:p>
            <w:pPr>
              <w:pStyle w:val="MDPI42tablebody"/>
              <w:suppressAutoHyphens/>
              <w:jc w:val="center"/>
            </w:pPr>
            <m:oMath>
              <m:r>
                <m:rPr>
                  <m:sty m:val="p"/>
                </m:rPr>
                <m:t>−</m:t>
              </m:r>
              <m:r>
                <m:t>6.41</m:t>
              </m:r>
            </m:oMath>
            <w:r>
              <w:t xml:space="preserve">​</w:t>
            </w:r>
          </w:p>
        </w:tc>
        <w:tc>
          <w:tcPr>
            <w:vAlign w:val="center"/>
          </w:tcPr>
          <w:p>
            <w:pPr>
              <w:pStyle w:val="MDPI42tablebody"/>
              <w:suppressAutoHyphens/>
              <w:jc w:val="center"/>
            </w:pPr>
            <m:oMath>
              <m:r>
                <m:rPr>
                  <m:sty m:val="p"/>
                </m:rPr>
                <m:t>−</m:t>
              </m:r>
              <m:r>
                <m:t>6.68</m:t>
              </m:r>
            </m:oMath>
            <w:r>
              <w:t xml:space="preserve">​</w:t>
            </w:r>
          </w:p>
        </w:tc>
        <w:tc>
          <w:tcPr>
            <w:vAlign w:val="center"/>
          </w:tcPr>
          <w:p>
            <w:pPr>
              <w:pStyle w:val="MDPI42tablebody"/>
              <w:suppressAutoHyphens/>
              <w:jc w:val="center"/>
            </w:pPr>
            <w:r>
              <w:t xml:space="preserve">0/80</w:t>
            </w:r>
          </w:p>
        </w:tc>
        <w:tc>
          <w:tcPr>
            <w:vAlign w:val="center"/>
          </w:tcPr>
          <w:p>
            <w:pPr>
              <w:pStyle w:val="MDPI42tablebody"/>
              <w:suppressAutoHyphens/>
              <w:jc w:val="center"/>
            </w:pPr>
            <m:oMath>
              <m:r>
                <m:t>1.1</m:t>
              </m:r>
              <m:r>
                <m:rPr>
                  <m:sty m:val="p"/>
                </m:rPr>
                <m:t>×</m:t>
              </m:r>
              <m:sSup>
                <m:e>
                  <m:r>
                    <m:t>10</m:t>
                  </m:r>
                </m:e>
                <m:sup>
                  <m:r>
                    <m:rPr>
                      <m:sty m:val="p"/>
                    </m:rPr>
                    <m:t>−</m:t>
                  </m:r>
                  <m:r>
                    <m:t>13</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2.9</m:t>
              </m:r>
              <m:r>
                <m:rPr>
                  <m:sty m:val="p"/>
                </m:rPr>
                <m:t>×</m:t>
              </m:r>
              <m:sSup>
                <m:e>
                  <m:r>
                    <m:t>10</m:t>
                  </m:r>
                </m:e>
                <m:sup>
                  <m:r>
                    <m:rPr>
                      <m:sty m:val="p"/>
                    </m:rPr>
                    <m:t>−</m:t>
                  </m:r>
                  <m:r>
                    <m:t>5</m:t>
                  </m:r>
                </m:sup>
              </m:sSup>
            </m:oMath>
            <w:r>
              <w:t xml:space="preserve">​</w:t>
            </w:r>
          </w:p>
        </w:tc>
      </w:tr>
    </w:tbl>
    <w:bookmarkEnd w:id="48"/>
    <w:bookmarkStart w:id="52" w:name="fig:pareto"/>
    <w:p>
      <w:pPr>
        <w:pStyle w:val="MDPI52figure"/>
      </w:pPr>
      <w:r>
        <w:drawing>
          <wp:inline>
            <wp:extent cx="6124495" cy="377972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79723"/>
                    </a:xfrm>
                    <a:prstGeom prst="rect">
                      <a:avLst/>
                    </a:prstGeom>
                    <a:noFill/>
                    <a:ln w="9525">
                      <a:noFill/>
                      <a:headEnd/>
                      <a:tailEnd/>
                    </a:ln>
                  </pic:spPr>
                </pic:pic>
              </a:graphicData>
            </a:graphic>
          </wp:inline>
        </w:drawing>
      </w:r>
    </w:p>
    <w:p>
      <w:pPr>
        <w:pStyle w:val="MDPI51figurecaption"/>
      </w:pPr>
      <w:r>
        <w:rPr>
          <w:b/>
        </w:rPr>
        <w:t xml:space="preserve">Figure 2. </w:t>
      </w:r>
      <w:r>
        <w:t xml:space="preserve">Simulated seasonal margin against constraint-violation variable-steps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w:t>
      </w:r>
      <w:r>
        <w:t xml:space="preserve"> </w:t>
      </w:r>
      <m:oMath>
        <m:r>
          <m:t>5.3</m:t>
        </m:r>
      </m:oMath>
      <w:r>
        <w:t xml:space="preserve"> </w:t>
      </w:r>
      <w:r>
        <w:t xml:space="preserve">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r>
        <w:t xml:space="preserve"> </w:t>
      </w:r>
      <w:r>
        <w:t xml:space="preserve">Marker labels abbreviate the controller names of Table </w:t>
      </w:r>
      <w:hyperlink w:anchor="tab:controllers">
        <w:r>
          <w:rPr>
            <w:rStyle w:val="Hyperlink"/>
          </w:rPr>
          <w:t xml:space="preserve">2</w:t>
        </w:r>
      </w:hyperlink>
      <w:r>
        <w:t xml:space="preserve">:</w:t>
      </w:r>
      <w:r>
        <w:t xml:space="preserve"> </w:t>
      </w:r>
      <w:r>
        <w:t xml:space="preserve">“frozen”</w:t>
      </w:r>
      <w:r>
        <w:t xml:space="preserve"> </w:t>
      </w:r>
      <w:r>
        <w:t xml:space="preserve">is</w:t>
      </w:r>
      <w:r>
        <w:t xml:space="preserve"> </w:t>
      </w:r>
      <w:r>
        <w:rPr>
          <w:rStyle w:val="VerbatimChar"/>
        </w:rPr>
        <w:t xml:space="preserve">sindy_mpc_conf</w:t>
      </w:r>
      <w:r>
        <w:t xml:space="preserve">,</w:t>
      </w:r>
      <w:r>
        <w:t xml:space="preserve"> </w:t>
      </w:r>
      <w:r>
        <w:t xml:space="preserve">“dense”</w:t>
      </w:r>
      <w:r>
        <w:t xml:space="preserve"> </w:t>
      </w:r>
      <w:r>
        <w:t xml:space="preserve">is</w:t>
      </w:r>
      <w:r>
        <w:t xml:space="preserve"> </w:t>
      </w:r>
      <w:r>
        <w:rPr>
          <w:rStyle w:val="VerbatimChar"/>
        </w:rPr>
        <w:t xml:space="preserve">sindy_mpc_dense</w:t>
      </w:r>
      <w:r>
        <w:t xml:space="preserve">,</w:t>
      </w:r>
      <w:r>
        <w:t xml:space="preserve"> </w:t>
      </w:r>
      <w:r>
        <w:t xml:space="preserve">“dense, low thr.”</w:t>
      </w:r>
      <w:r>
        <w:t xml:space="preserve"> </w:t>
      </w:r>
      <w:r>
        <w:t xml:space="preserve">is</w:t>
      </w:r>
      <w:r>
        <w:t xml:space="preserve"> </w:t>
      </w:r>
      <w:r>
        <w:rPr>
          <w:rStyle w:val="VerbatimChar"/>
        </w:rPr>
        <w:t xml:space="preserve">sindy_mpc_lowthr</w:t>
      </w:r>
      <w:r>
        <w:t xml:space="preserve">,</w:t>
      </w:r>
      <w:r>
        <w:t xml:space="preserve"> </w:t>
      </w:r>
      <w:r>
        <w:t xml:space="preserve">“raw”</w:t>
      </w:r>
      <w:r>
        <w:t xml:space="preserve"> </w:t>
      </w:r>
      <w:r>
        <w:t xml:space="preserve">and</w:t>
      </w:r>
      <w:r>
        <w:t xml:space="preserve"> </w:t>
      </w:r>
      <w:r>
        <w:t xml:space="preserve">“raw (ens.)”</w:t>
      </w:r>
      <w:r>
        <w:t xml:space="preserve"> </w:t>
      </w:r>
      <w:r>
        <w:t xml:space="preserve">are</w:t>
      </w:r>
      <w:r>
        <w:t xml:space="preserve"> </w:t>
      </w:r>
      <w:r>
        <w:rPr>
          <w:rStyle w:val="VerbatimChar"/>
        </w:rPr>
        <w:t xml:space="preserve">sindy_mpc_raw</w:t>
      </w:r>
      <w:r>
        <w:t xml:space="preserve"> </w:t>
      </w:r>
      <w:r>
        <w:t xml:space="preserve">and</w:t>
      </w:r>
      <w:r>
        <w:t xml:space="preserve"> </w:t>
      </w:r>
      <w:r>
        <w:rPr>
          <w:rStyle w:val="VerbatimChar"/>
        </w:rPr>
        <w:t xml:space="preserve">sindy_mpc_raw_ens</w:t>
      </w:r>
      <w:r>
        <w:t xml:space="preserve">,</w:t>
      </w:r>
      <w:r>
        <w:t xml:space="preserve"> </w:t>
      </w:r>
      <w:r>
        <w:t xml:space="preserve">“physics”</w:t>
      </w:r>
      <w:r>
        <w:t xml:space="preserve"> </w:t>
      </w:r>
      <w:r>
        <w:t xml:space="preserve">and</w:t>
      </w:r>
      <w:r>
        <w:t xml:space="preserve"> </w:t>
      </w:r>
      <w:r>
        <w:t xml:space="preserve">“physics (ens.)”</w:t>
      </w:r>
      <w:r>
        <w:t xml:space="preserve"> </w:t>
      </w:r>
      <w:r>
        <w:t xml:space="preserve">are</w:t>
      </w:r>
      <w:r>
        <w:t xml:space="preserve"> </w:t>
      </w:r>
      <w:r>
        <w:rPr>
          <w:rStyle w:val="VerbatimChar"/>
        </w:rPr>
        <w:t xml:space="preserve">sindy_mpc_phys</w:t>
      </w:r>
      <w:r>
        <w:t xml:space="preserve"> </w:t>
      </w:r>
      <w:r>
        <w:t xml:space="preserve">and</w:t>
      </w:r>
      <w:r>
        <w:t xml:space="preserve"> </w:t>
      </w:r>
      <w:r>
        <w:rPr>
          <w:rStyle w:val="VerbatimChar"/>
        </w:rPr>
        <w:t xml:space="preserve">sindy_mpc_phys_ens</w:t>
      </w:r>
      <w:r>
        <w:t xml:space="preserve">, and</w:t>
      </w:r>
      <w:r>
        <w:t xml:space="preserve"> </w:t>
      </w:r>
      <w:r>
        <w:t xml:space="preserve">“+ re-ident.”</w:t>
      </w:r>
      <w:r>
        <w:t xml:space="preserve"> </w:t>
      </w:r>
      <w:r>
        <w:t xml:space="preserve">marks the two on-policy re-identification variants.</w:t>
      </w:r>
    </w:p>
    <w:bookmarkEnd w:id="52"/>
    <w:bookmarkEnd w:id="53"/>
    <w:bookmarkStart w:id="55" w:name="sec:res-unseen"/>
    <w:p>
      <w:pPr>
        <w:pStyle w:val="MDPI22heading2"/>
      </w:pPr>
      <w:r>
        <w:t xml:space="preserve">3.4. </w:t>
      </w:r>
      <w:r>
        <w:t xml:space="preserve">Evaluation on four unseen weather seasons</w:t>
      </w:r>
    </w:p>
    <w:p>
      <w:pPr>
        <w:pStyle w:val="MDPI31text"/>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w:t>
      </w:r>
      <w:r>
        <w:t xml:space="preserve"> </w:t>
      </w:r>
      <w:r>
        <w:t xml:space="preserve">raw-library ensemble controller again leads, at</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w:t>
      </w:r>
      <w:r>
        <w:t xml:space="preserve"> </w:t>
      </w:r>
      <w:r>
        <w:t xml:space="preserve">in 32 of 32 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MDPI31text"/>
      </w:pPr>
      <w:r>
        <w:t xml:space="preserve">The ordering below the lead differs between the two sets of seasons. Compared like for</w:t>
      </w:r>
      <w:r>
        <w:t xml:space="preserve"> </w:t>
      </w:r>
      <w:r>
        <w:t xml:space="preserve">like, the same four controllers on 2020–2023 under the same default objective,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Only 8</w:t>
      </w:r>
      <w:r>
        <w:t xml:space="preserve"> </w:t>
      </w:r>
      <w:r>
        <w:t xml:space="preserve">seeds were run here against 20 in the main wave; the reference is the hard-coded heuristic,</w:t>
      </w:r>
      <w:r>
        <w:t xml:space="preserve"> </w:t>
      </w:r>
      <w:r>
        <w:t xml:space="preserve">since the tuned setpoints were never evaluated on 2014–2017; and the margin again comes</w:t>
      </w:r>
      <w:r>
        <w:t xml:space="preserve"> </w:t>
      </w:r>
      <w:r>
        <w:t xml:space="preserve">with higher 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MDPI41tablecaption"/>
      </w:pPr>
      <w:r>
        <w:rPr>
          <w:b/>
        </w:rPr>
        <w:t xml:space="preserve">Table 8. </w:t>
      </w:r>
      <w:r>
        <w:t xml:space="preserve">Four seasons never used at any stage, default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MDPI41threelinetable"/>
        <w:tblW w:type="auto" w:w="0"/>
        <w:tblLook w:firstRow="1" w:lastRow="0" w:firstColumn="0" w:lastColumn="0" w:noHBand="0" w:noVBand="0" w:val="0020"/>
        <w:tblCaption w:val="Four seasons never used at any stage, default objective, 8 seeds. EPI in EUR m^{-2}. Source: regen/results/n5_years/main_n5.csv."/>
      </w:tblPr>
      <w:tblGrid>
        <w:gridCol w:w="990"/>
        <w:gridCol w:w="990"/>
        <w:gridCol w:w="990"/>
        <w:gridCol w:w="990"/>
        <w:gridCol w:w="990"/>
        <w:gridCol w:w="990"/>
        <w:gridCol w:w="990"/>
        <w:gridCol w:w="990"/>
      </w:tblGrid>
      <w:tr>
        <w:trPr>
          <w:tblHeader w:val="on"/>
        </w:trPr>
        <w:tc>
          <w:tcPr>
            <w:vAlign w:val="center"/>
          </w:tcPr>
          <w:p>
            <w:pPr>
              <w:pStyle w:val="MDPI42tablebody"/>
              <w:suppressAutoHyphens/>
              <w:jc w:val="center"/>
            </w:pPr>
            <w:r>
              <w:t xml:space="preserve">Controller</w:t>
            </w:r>
          </w:p>
        </w:tc>
        <w:tc>
          <w:tcPr>
            <w:vAlign w:val="center"/>
          </w:tcPr>
          <w:p>
            <w:pPr>
              <w:pStyle w:val="MDPI42tablebody"/>
              <w:suppressAutoHyphens/>
              <w:jc w:val="center"/>
            </w:pPr>
            <w:r>
              <w:t xml:space="preserve">2014</w:t>
            </w:r>
          </w:p>
        </w:tc>
        <w:tc>
          <w:tcPr>
            <w:vAlign w:val="center"/>
          </w:tcPr>
          <w:p>
            <w:pPr>
              <w:pStyle w:val="MDPI42tablebody"/>
              <w:suppressAutoHyphens/>
              <w:jc w:val="center"/>
            </w:pPr>
            <w:r>
              <w:t xml:space="preserve">2015</w:t>
            </w:r>
          </w:p>
        </w:tc>
        <w:tc>
          <w:tcPr>
            <w:vAlign w:val="center"/>
          </w:tcPr>
          <w:p>
            <w:pPr>
              <w:pStyle w:val="MDPI42tablebody"/>
              <w:suppressAutoHyphens/>
              <w:jc w:val="center"/>
            </w:pPr>
            <w:r>
              <w:t xml:space="preserve">2016</w:t>
            </w:r>
          </w:p>
        </w:tc>
        <w:tc>
          <w:tcPr>
            <w:vAlign w:val="center"/>
          </w:tcPr>
          <w:p>
            <w:pPr>
              <w:pStyle w:val="MDPI42tablebody"/>
              <w:suppressAutoHyphens/>
              <w:jc w:val="center"/>
            </w:pPr>
            <w:r>
              <w:t xml:space="preserve">2017</w:t>
            </w:r>
          </w:p>
        </w:tc>
        <w:tc>
          <w:tcPr>
            <w:vAlign w:val="center"/>
          </w:tcPr>
          <w:p>
            <w:pPr>
              <w:pStyle w:val="MDPI42tablebody"/>
              <w:suppressAutoHyphens/>
              <w:jc w:val="center"/>
            </w:pPr>
            <w:r>
              <w:t xml:space="preserve">Mean</w:t>
            </w:r>
          </w:p>
        </w:tc>
        <w:tc>
          <w:tcPr>
            <w:vAlign w:val="center"/>
          </w:tcPr>
          <w:p>
            <w:pPr>
              <w:pStyle w:val="MDPI42tablebody"/>
              <w:suppressAutoHyphens/>
              <w:jc w:val="center"/>
            </w:pPr>
            <w:r>
              <w:t xml:space="preserve">SD (</w:t>
            </w:r>
            <m:oMath>
              <m:r>
                <m:t>n</m:t>
              </m:r>
              <m:r>
                <m:rPr>
                  <m:sty m:val="p"/>
                </m:rPr>
                <m:t>=</m:t>
              </m:r>
              <m:r>
                <m:t>32</m:t>
              </m:r>
            </m:oMath>
            <w:r>
              <w:t xml:space="preserve">)</w:t>
            </w:r>
          </w:p>
        </w:tc>
        <w:tc>
          <w:tcPr>
            <w:vAlign w:val="center"/>
          </w:tcPr>
          <w:p>
            <w:pPr>
              <w:pStyle w:val="MDPI42tablebody"/>
              <w:suppressAutoHyphens/>
              <w:jc w:val="center"/>
            </w:pPr>
            <w:r>
              <w:t xml:space="preserve">Viol.</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m:oMath>
              <m:r>
                <m:rPr>
                  <m:sty m:val="p"/>
                </m:rPr>
                <m:t>+</m:t>
              </m:r>
              <m:r>
                <m:t>7.08</m:t>
              </m:r>
            </m:oMath>
            <w:r>
              <w:t xml:space="preserve">​</w:t>
            </w:r>
          </w:p>
        </w:tc>
        <w:tc>
          <w:tcPr>
            <w:vAlign w:val="center"/>
          </w:tcPr>
          <w:p>
            <w:pPr>
              <w:pStyle w:val="MDPI42tablebody"/>
              <w:suppressAutoHyphens/>
              <w:jc w:val="center"/>
            </w:pPr>
            <m:oMath>
              <m:r>
                <m:rPr>
                  <m:sty m:val="p"/>
                </m:rPr>
                <m:t>+</m:t>
              </m:r>
              <m:r>
                <m:t>6.25</m:t>
              </m:r>
            </m:oMath>
            <w:r>
              <w:t xml:space="preserve">​</w:t>
            </w:r>
          </w:p>
        </w:tc>
        <w:tc>
          <w:tcPr>
            <w:vAlign w:val="center"/>
          </w:tcPr>
          <w:p>
            <w:pPr>
              <w:pStyle w:val="MDPI42tablebody"/>
              <w:suppressAutoHyphens/>
              <w:jc w:val="center"/>
            </w:pPr>
            <m:oMath>
              <m:r>
                <m:rPr>
                  <m:sty m:val="p"/>
                </m:rPr>
                <m:t>+</m:t>
              </m:r>
              <m:r>
                <m:t>5.98</m:t>
              </m:r>
            </m:oMath>
            <w:r>
              <w:t xml:space="preserve">​</w:t>
            </w:r>
          </w:p>
        </w:tc>
        <w:tc>
          <w:tcPr>
            <w:vAlign w:val="center"/>
          </w:tcPr>
          <w:p>
            <w:pPr>
              <w:pStyle w:val="MDPI42tablebody"/>
              <w:suppressAutoHyphens/>
              <w:jc w:val="center"/>
            </w:pPr>
            <m:oMath>
              <m:r>
                <m:rPr>
                  <m:sty m:val="p"/>
                </m:rPr>
                <m:t>+</m:t>
              </m:r>
              <m:r>
                <m:t>6.38</m:t>
              </m:r>
            </m:oMath>
            <w:r>
              <w:t xml:space="preserve">​</w:t>
            </w:r>
          </w:p>
        </w:tc>
        <w:tc>
          <w:tcPr>
            <w:vAlign w:val="center"/>
          </w:tcPr>
          <w:p>
            <w:pPr>
              <w:pStyle w:val="MDPI42tablebody"/>
              <w:suppressAutoHyphens/>
              <w:jc w:val="center"/>
            </w:pPr>
            <m:oMath>
              <m:r>
                <m:rPr>
                  <m:sty m:val="b"/>
                </m:rPr>
                <m:t>+</m:t>
              </m:r>
              <m:r>
                <m:rPr>
                  <m:sty m:val="b"/>
                </m:rPr>
                <m:t>6.42</m:t>
              </m:r>
            </m:oMath>
            <w:r>
              <w:t xml:space="preserve">​</w:t>
            </w:r>
          </w:p>
        </w:tc>
        <w:tc>
          <w:tcPr>
            <w:vAlign w:val="center"/>
          </w:tcPr>
          <w:p>
            <w:pPr>
              <w:pStyle w:val="MDPI42tablebody"/>
              <w:suppressAutoHyphens/>
              <w:jc w:val="center"/>
            </w:pPr>
            <w:r>
              <w:t xml:space="preserve">0.95</w:t>
            </w:r>
          </w:p>
        </w:tc>
        <w:tc>
          <w:tcPr>
            <w:vAlign w:val="center"/>
          </w:tcPr>
          <w:p>
            <w:pPr>
              <w:pStyle w:val="MDPI42tablebody"/>
              <w:suppressAutoHyphens/>
              <w:jc w:val="center"/>
            </w:pPr>
            <w:r>
              <w:t xml:space="preserve">4385</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m:oMath>
              <m:r>
                <m:rPr>
                  <m:sty m:val="p"/>
                </m:rPr>
                <m:t>+</m:t>
              </m:r>
              <m:r>
                <m:t>3.06</m:t>
              </m:r>
            </m:oMath>
            <w:r>
              <w:t xml:space="preserve">​</w:t>
            </w:r>
          </w:p>
        </w:tc>
        <w:tc>
          <w:tcPr>
            <w:vAlign w:val="center"/>
          </w:tcPr>
          <w:p>
            <w:pPr>
              <w:pStyle w:val="MDPI42tablebody"/>
              <w:suppressAutoHyphens/>
              <w:jc w:val="center"/>
            </w:pPr>
            <m:oMath>
              <m:r>
                <m:rPr>
                  <m:sty m:val="p"/>
                </m:rPr>
                <m:t>+</m:t>
              </m:r>
              <m:r>
                <m:t>1.70</m:t>
              </m:r>
            </m:oMath>
            <w:r>
              <w:t xml:space="preserve">​</w:t>
            </w:r>
          </w:p>
        </w:tc>
        <w:tc>
          <w:tcPr>
            <w:vAlign w:val="center"/>
          </w:tcPr>
          <w:p>
            <w:pPr>
              <w:pStyle w:val="MDPI42tablebody"/>
              <w:suppressAutoHyphens/>
              <w:jc w:val="center"/>
            </w:pPr>
            <m:oMath>
              <m:r>
                <m:rPr>
                  <m:sty m:val="p"/>
                </m:rPr>
                <m:t>+</m:t>
              </m:r>
              <m:r>
                <m:t>2.18</m:t>
              </m:r>
            </m:oMath>
            <w:r>
              <w:t xml:space="preserve">​</w:t>
            </w:r>
          </w:p>
        </w:tc>
        <w:tc>
          <w:tcPr>
            <w:vAlign w:val="center"/>
          </w:tcPr>
          <w:p>
            <w:pPr>
              <w:pStyle w:val="MDPI42tablebody"/>
              <w:suppressAutoHyphens/>
              <w:jc w:val="center"/>
            </w:pPr>
            <m:oMath>
              <m:r>
                <m:rPr>
                  <m:sty m:val="p"/>
                </m:rPr>
                <m:t>+</m:t>
              </m:r>
              <m:r>
                <m:t>2.57</m:t>
              </m:r>
            </m:oMath>
            <w:r>
              <w:t xml:space="preserve">​</w:t>
            </w:r>
          </w:p>
        </w:tc>
        <w:tc>
          <w:tcPr>
            <w:vAlign w:val="center"/>
          </w:tcPr>
          <w:p>
            <w:pPr>
              <w:pStyle w:val="MDPI42tablebody"/>
              <w:suppressAutoHyphens/>
              <w:jc w:val="center"/>
            </w:pPr>
            <m:oMath>
              <m:r>
                <m:rPr>
                  <m:sty m:val="p"/>
                </m:rPr>
                <m:t>+</m:t>
              </m:r>
              <m:r>
                <m:t>2.38</m:t>
              </m:r>
            </m:oMath>
            <w:r>
              <w:t xml:space="preserve">​</w:t>
            </w:r>
          </w:p>
        </w:tc>
        <w:tc>
          <w:tcPr>
            <w:vAlign w:val="center"/>
          </w:tcPr>
          <w:p>
            <w:pPr>
              <w:pStyle w:val="MDPI42tablebody"/>
              <w:suppressAutoHyphens/>
              <w:jc w:val="center"/>
            </w:pPr>
            <w:r>
              <w:t xml:space="preserve">4.03</w:t>
            </w:r>
          </w:p>
        </w:tc>
        <w:tc>
          <w:tcPr>
            <w:vAlign w:val="center"/>
          </w:tcPr>
          <w:p>
            <w:pPr>
              <w:pStyle w:val="MDPI42tablebody"/>
              <w:suppressAutoHyphens/>
              <w:jc w:val="center"/>
            </w:pPr>
            <w:r>
              <w:t xml:space="preserve">5458</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m:oMath>
              <m:r>
                <m:rPr>
                  <m:sty m:val="p"/>
                </m:rPr>
                <m:t>+</m:t>
              </m:r>
              <m:r>
                <m:t>1.63</m:t>
              </m:r>
            </m:oMath>
            <w:r>
              <w:t xml:space="preserve">​</w:t>
            </w:r>
          </w:p>
        </w:tc>
        <w:tc>
          <w:tcPr>
            <w:vAlign w:val="center"/>
          </w:tcPr>
          <w:p>
            <w:pPr>
              <w:pStyle w:val="MDPI42tablebody"/>
              <w:suppressAutoHyphens/>
              <w:jc w:val="center"/>
            </w:pPr>
            <m:oMath>
              <m:r>
                <m:rPr>
                  <m:sty m:val="p"/>
                </m:rPr>
                <m:t>+</m:t>
              </m:r>
              <m:r>
                <m:t>0.54</m:t>
              </m:r>
            </m:oMath>
            <w:r>
              <w:t xml:space="preserve">​</w:t>
            </w:r>
          </w:p>
        </w:tc>
        <w:tc>
          <w:tcPr>
            <w:vAlign w:val="center"/>
          </w:tcPr>
          <w:p>
            <w:pPr>
              <w:pStyle w:val="MDPI42tablebody"/>
              <w:suppressAutoHyphens/>
              <w:jc w:val="center"/>
            </w:pPr>
            <m:oMath>
              <m:r>
                <m:rPr>
                  <m:sty m:val="p"/>
                </m:rPr>
                <m:t>+</m:t>
              </m:r>
              <m:r>
                <m:t>0.84</m:t>
              </m:r>
            </m:oMath>
            <w:r>
              <w:t xml:space="preserve">​</w:t>
            </w:r>
          </w:p>
        </w:tc>
        <w:tc>
          <w:tcPr>
            <w:vAlign w:val="center"/>
          </w:tcPr>
          <w:p>
            <w:pPr>
              <w:pStyle w:val="MDPI42tablebody"/>
              <w:suppressAutoHyphens/>
              <w:jc w:val="center"/>
            </w:pPr>
            <m:oMath>
              <m:r>
                <m:rPr>
                  <m:sty m:val="p"/>
                </m:rPr>
                <m:t>+</m:t>
              </m:r>
              <m:r>
                <m:t>1.27</m:t>
              </m:r>
            </m:oMath>
            <w:r>
              <w:t xml:space="preserve">​</w:t>
            </w:r>
          </w:p>
        </w:tc>
        <w:tc>
          <w:tcPr>
            <w:vAlign w:val="center"/>
          </w:tcPr>
          <w:p>
            <w:pPr>
              <w:pStyle w:val="MDPI42tablebody"/>
              <w:suppressAutoHyphens/>
              <w:jc w:val="center"/>
            </w:pPr>
            <m:oMath>
              <m:r>
                <m:rPr>
                  <m:sty m:val="p"/>
                </m:rPr>
                <m:t>+</m:t>
              </m:r>
              <m:r>
                <m:t>1.07</m:t>
              </m:r>
            </m:oMath>
            <w:r>
              <w:t xml:space="preserve">​</w:t>
            </w:r>
          </w:p>
        </w:tc>
        <w:tc>
          <w:tcPr>
            <w:vAlign w:val="center"/>
          </w:tcPr>
          <w:p>
            <w:pPr>
              <w:pStyle w:val="MDPI42tablebody"/>
              <w:suppressAutoHyphens/>
              <w:jc w:val="center"/>
            </w:pPr>
            <w:r>
              <w:t xml:space="preserve">1.74</w:t>
            </w:r>
          </w:p>
        </w:tc>
        <w:tc>
          <w:tcPr>
            <w:vAlign w:val="center"/>
          </w:tcPr>
          <w:p>
            <w:pPr>
              <w:pStyle w:val="MDPI42tablebody"/>
              <w:suppressAutoHyphens/>
              <w:jc w:val="center"/>
            </w:pPr>
            <w:r>
              <w:t xml:space="preserve">6226</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m:oMath>
              <m:r>
                <m:rPr>
                  <m:sty m:val="p"/>
                </m:rPr>
                <m:t>+</m:t>
              </m:r>
              <m:r>
                <m:t>0.99</m:t>
              </m:r>
            </m:oMath>
            <w:r>
              <w:t xml:space="preserve">​</w:t>
            </w:r>
          </w:p>
        </w:tc>
        <w:tc>
          <w:tcPr>
            <w:vAlign w:val="center"/>
          </w:tcPr>
          <w:p>
            <w:pPr>
              <w:pStyle w:val="MDPI42tablebody"/>
              <w:suppressAutoHyphens/>
              <w:jc w:val="center"/>
            </w:pPr>
            <m:oMath>
              <m:r>
                <m:rPr>
                  <m:sty m:val="p"/>
                </m:rPr>
                <m:t>−</m:t>
              </m:r>
              <m:r>
                <m:t>1.13</m:t>
              </m:r>
            </m:oMath>
            <w:r>
              <w:t xml:space="preserve">​</w:t>
            </w:r>
          </w:p>
        </w:tc>
        <w:tc>
          <w:tcPr>
            <w:vAlign w:val="center"/>
          </w:tcPr>
          <w:p>
            <w:pPr>
              <w:pStyle w:val="MDPI42tablebody"/>
              <w:suppressAutoHyphens/>
              <w:jc w:val="center"/>
            </w:pPr>
            <m:oMath>
              <m:r>
                <m:rPr>
                  <m:sty m:val="p"/>
                </m:rPr>
                <m:t>−</m:t>
              </m:r>
              <m:r>
                <m:t>2.22</m:t>
              </m:r>
            </m:oMath>
            <w:r>
              <w:t xml:space="preserve">​</w:t>
            </w:r>
          </w:p>
        </w:tc>
        <w:tc>
          <w:tcPr>
            <w:vAlign w:val="center"/>
          </w:tcPr>
          <w:p>
            <w:pPr>
              <w:pStyle w:val="MDPI42tablebody"/>
              <w:suppressAutoHyphens/>
              <w:jc w:val="center"/>
            </w:pPr>
            <m:oMath>
              <m:r>
                <m:rPr>
                  <m:sty m:val="p"/>
                </m:rPr>
                <m:t>+</m:t>
              </m:r>
              <m:r>
                <m:t>1.05</m:t>
              </m:r>
            </m:oMath>
            <w:r>
              <w:t xml:space="preserve">​</w:t>
            </w:r>
          </w:p>
        </w:tc>
        <w:tc>
          <w:tcPr>
            <w:vAlign w:val="center"/>
          </w:tcPr>
          <w:p>
            <w:pPr>
              <w:pStyle w:val="MDPI42tablebody"/>
              <w:suppressAutoHyphens/>
              <w:jc w:val="center"/>
            </w:pPr>
            <m:oMath>
              <m:r>
                <m:rPr>
                  <m:sty m:val="p"/>
                </m:rPr>
                <m:t>−</m:t>
              </m:r>
              <m:r>
                <m:t>0.33</m:t>
              </m:r>
            </m:oMath>
            <w:r>
              <w:t xml:space="preserve">​</w:t>
            </w:r>
          </w:p>
        </w:tc>
        <w:tc>
          <w:tcPr>
            <w:vAlign w:val="center"/>
          </w:tcPr>
          <w:p>
            <w:pPr>
              <w:pStyle w:val="MDPI42tablebody"/>
              <w:suppressAutoHyphens/>
              <w:jc w:val="center"/>
            </w:pPr>
            <w:r>
              <w:t xml:space="preserve">1.42</w:t>
            </w:r>
            <m:oMath>
              <m:sSup>
                <m:e>
                  <m:r>
                    <m:t>​</m:t>
                  </m:r>
                </m:e>
                <m:sup>
                  <m:r>
                    <m:rPr>
                      <m:sty m:val="p"/>
                    </m:rPr>
                    <m:t>*</m:t>
                  </m:r>
                </m:sup>
              </m:sSup>
            </m:oMath>
          </w:p>
        </w:tc>
        <w:tc>
          <w:tcPr>
            <w:vAlign w:val="center"/>
          </w:tcPr>
          <w:p>
            <w:pPr>
              <w:pStyle w:val="MDPI42tablebody"/>
              <w:suppressAutoHyphens/>
              <w:jc w:val="center"/>
            </w:pPr>
            <w:r>
              <w:rPr>
                <w:b/>
                <w:bCs/>
              </w:rPr>
              <w:t xml:space="preserve">2624</w:t>
            </w:r>
          </w:p>
        </w:tc>
      </w:tr>
    </w:tbl>
    <w:bookmarkEnd w:id="54"/>
    <w:p>
      <w:pPr>
        <w:pStyle w:val="MDPI43tablefooter"/>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MDPI22heading2"/>
      </w:pPr>
      <w:r>
        <w:t xml:space="preserve">3.5. </w:t>
      </w:r>
      <w:r>
        <w:t xml:space="preserve">Mechanism</w:t>
      </w:r>
    </w:p>
    <w:p>
      <w:pPr>
        <w:pStyle w:val="MDPI31text"/>
      </w:pPr>
      <w:r>
        <w:t xml:space="preserve">The closed-loop margin depends on whether the actuator pathway survives thresholding</w:t>
      </w:r>
      <w:r>
        <w:t xml:space="preserve"> </w:t>
      </w:r>
      <w:r>
        <w:t xml:space="preserve">rather than on the conditioning of the regression. Conditioning predicts open-loop</w:t>
      </w:r>
      <w:r>
        <w:t xml:space="preserve"> </w:t>
      </w:r>
      <w:r>
        <w:t xml:space="preserve">multi-step stability, monotonically in the library (Section </w:t>
      </w:r>
      <w:hyperlink w:anchor="sec:res-ladder">
        <w:r>
          <w:rPr>
            <w:rStyle w:val="Hyperlink"/>
          </w:rPr>
          <w:t xml:space="preserve">3.1</w:t>
        </w:r>
      </w:hyperlink>
      <w:r>
        <w:t xml:space="preserve">), as</w:t>
      </w:r>
      <w:r>
        <w:t xml:space="preserve"> </w:t>
      </w:r>
      <w:r>
        <w:t xml:space="preserve">reported for ill-conditioned sparse regression [28] and as expected from</w:t>
      </w:r>
      <w:r>
        <w:t xml:space="preserve"> </w:t>
      </w:r>
      <w:r>
        <w:t xml:space="preserve">the identification-for-control literature [19–20]; it does not</w:t>
      </w:r>
      <w:r>
        <w:t xml:space="preserve"> </w:t>
      </w:r>
      <w:r>
        <w:t xml:space="preserve">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10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tracks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MDPI31text"/>
      </w:pPr>
      <w:r>
        <w:t xml:space="preserve">The comparison is one-factor by construction: degree, denoiser, optimiser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Because the sparsity sweep and the four-season arm ran in different execution</w:t>
      </w:r>
      <w:r>
        <w:t xml:space="preserve"> </w:t>
      </w:r>
      <w:r>
        <w:t xml:space="preserve">environments (Section </w:t>
      </w:r>
      <w:hyperlink w:anchor="sec:results">
        <w:r>
          <w:rPr>
            <w:rStyle w:val="Hyperlink"/>
          </w:rPr>
          <w:t xml:space="preserve">3</w:t>
        </w:r>
      </w:hyperlink>
      <w:r>
        <w:t xml:space="preserve">), this comparison serves only as a consistency</w:t>
      </w:r>
      <w:r>
        <w:t xml:space="preserve"> </w:t>
      </w:r>
      <w:r>
        <w:t xml:space="preserve">check on the shape of the effect.</w:t>
      </w:r>
    </w:p>
    <w:p>
      <w:pPr>
        <w:pStyle w:val="MDPI31text"/>
      </w:pPr>
      <w:r>
        <w:t xml:space="preserve">One candidate explanation for the middle library scoring below both neighbours was tested</w:t>
      </w:r>
      <w:r>
        <w:t xml:space="preserve"> </w:t>
      </w:r>
      <w:r>
        <w:t xml:space="preserve">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has enough collinearity for the threshold to destabilise the direct boiler term, while the</w:t>
      </w:r>
      <w:r>
        <w:t xml:space="preserve"> </w:t>
      </w:r>
      <w:r>
        <w:t xml:space="preserve">full library, worse conditioned still, keeps the bilinear term as a detour able to take</w:t>
      </w:r>
      <w:r>
        <w:t xml:space="preserve"> </w:t>
      </w:r>
      <w:r>
        <w:t xml:space="preserve">over the heating pathway once the direct one is cut. That account predicts that deleting</w:t>
      </w:r>
      <w:r>
        <w:t xml:space="preserve"> </w:t>
      </w:r>
      <w:r>
        <w:t xml:space="preserve">exactly the bilinear feature from the 18-feature full library (16 of 18 features, and</w:t>
      </w:r>
      <w:r>
        <w:t xml:space="preserve"> </w:t>
      </w:r>
      <w:r>
        <w:t xml:space="preserve">essentially all of the collinearity, unchanged) should collapse the truncated library onto</w:t>
      </w:r>
      <w:r>
        <w:t xml:space="preserve"> </w:t>
      </w:r>
      <w:r>
        <w:t xml:space="preserve">the middle one, with boiler 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w:t>
      </w:r>
      <w:r>
        <w:t xml:space="preserve">rather than near</w:t>
      </w:r>
      <w:r>
        <w:t xml:space="preserve"> </w:t>
      </w:r>
      <m:oMath>
        <m:r>
          <m:rPr>
            <m:sty m:val="p"/>
          </m:rPr>
          <m:t>+</m:t>
        </m:r>
        <m:r>
          <m:t>2.75</m:t>
        </m:r>
      </m:oMath>
      <w:r>
        <w:t xml:space="preserve"> </w:t>
      </w:r>
      <w:r>
        <w:t xml:space="preserve">and</w:t>
      </w:r>
      <w:r>
        <w:t xml:space="preserve"> </w:t>
      </w:r>
      <m:oMath>
        <m:r>
          <m:t>0.55</m:t>
        </m:r>
      </m:oMath>
      <w:r>
        <w:t xml:space="preserve">.</w:t>
      </w:r>
    </w:p>
    <w:p>
      <w:pPr>
        <w:pStyle w:val="MDPI31text"/>
      </w:pPr>
      <w:r>
        <w:t xml:space="preserve">The 17-feature library (</w:t>
      </w:r>
      <w:r>
        <w:rPr>
          <w:rStyle w:val="VerbatimChar"/>
        </w:rPr>
        <w:t xml:space="preserve">physics_no_tuboil</w:t>
      </w:r>
      <w:r>
        <w:t xml:space="preserve">), refit at both sparse estimators at</w:t>
      </w:r>
      <w:r>
        <w:t xml:space="preserve"> </w:t>
      </w:r>
      <w:r>
        <w:t xml:space="preserve">threshold</w:t>
      </w:r>
      <w:r>
        <w:t xml:space="preserve"> </w:t>
      </w:r>
      <m:oMath>
        <m:r>
          <m:t>0.05</m:t>
        </m:r>
      </m:oMath>
      <w:r>
        <w:t xml:space="preserve"> </w:t>
      </w:r>
      <w:r>
        <w:t xml:space="preserve">and simulated over the same four seasons</w:t>
      </w:r>
      <w:r>
        <w:t xml:space="preserve"> </w:t>
      </w:r>
      <m:oMath>
        <m:r>
          <m:rPr>
            <m:sty m:val="p"/>
          </m:rPr>
          <m:t>×</m:t>
        </m:r>
      </m:oMath>
      <w:r>
        <w:t xml:space="preserve"> </w:t>
      </w:r>
      <w:r>
        <w:t xml:space="preserve">20 seeds with zero</w:t>
      </w:r>
      <w:r>
        <w:t xml:space="preserve"> </w:t>
      </w:r>
      <w:r>
        <w:t xml:space="preserve">truncated runs, does not collapse (Table </w:t>
      </w:r>
      <w:hyperlink w:anchor="tab:survival3">
        <w:r>
          <w:rPr>
            <w:rStyle w:val="Hyperlink"/>
          </w:rPr>
          <w:t xml:space="preserve">9</w:t>
        </w:r>
      </w:hyperlink>
      <w:r>
        <w:t xml:space="preserve">, fourth row pair). It keeps</w:t>
      </w:r>
      <w:r>
        <w:t xml:space="preserve"> </w:t>
      </w:r>
      <w:r>
        <w:t xml:space="preserve">the 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 the</w:t>
      </w:r>
      <w:r>
        <w:t xml:space="preserve"> </w:t>
      </w:r>
      <w:r>
        <w:t xml:space="preserve">ensemble estimator) and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w:t>
      </w:r>
      <w:r>
        <w:t xml:space="preserve"> </w:t>
      </w:r>
      <w:r>
        <w:t xml:space="preserve">estimator 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MDPI31text"/>
      </w:pPr>
      <w:r>
        <w:t xml:space="preserve">Figure </w:t>
      </w:r>
      <w:hyperlink w:anchor="fig:kappa">
        <w:r>
          <w:rPr>
            <w:rStyle w:val="Hyperlink"/>
          </w:rPr>
          <w:t xml:space="preserve">1</w:t>
        </w:r>
      </w:hyperlink>
      <w:r>
        <w:t xml:space="preserve">d shows how far the surviving coefficients sit above the cut. Where</w:t>
      </w:r>
      <w:r>
        <w:t xml:space="preserve"> </w:t>
      </w:r>
      <w:r>
        <w:t xml:space="preserve">the direct boiler coefficient survives, its standardised magnitude lies between</w:t>
      </w:r>
      <w:r>
        <w:t xml:space="preserve"> </w:t>
      </w:r>
      <m:oMath>
        <m:r>
          <m:t>0.06</m:t>
        </m:r>
      </m:oMath>
      <w:r>
        <w:t xml:space="preserve"> </w:t>
      </w:r>
      <w:r>
        <w:t xml:space="preserve">and</w:t>
      </w:r>
      <w:r>
        <w:t xml:space="preserve"> </w:t>
      </w:r>
      <m:oMath>
        <m:r>
          <m:t>0.08</m:t>
        </m:r>
      </m:oMath>
      <w:r>
        <w:t xml:space="preserve"> </w:t>
      </w:r>
      <w:r>
        <w:t xml:space="preserve">in the raw library (median</w:t>
      </w:r>
      <w:r>
        <w:t xml:space="preserve"> </w:t>
      </w:r>
      <m:oMath>
        <m:r>
          <m:t>0.069</m:t>
        </m:r>
      </m:oMath>
      <w:r>
        <w:t xml:space="preserve">, 11 of 20 replicates) and between</w:t>
      </w:r>
      <w:r>
        <w:t xml:space="preserve"> </w:t>
      </w:r>
      <m:oMath>
        <m:r>
          <m:t>0.06</m:t>
        </m:r>
      </m:oMath>
      <w:r>
        <w:t xml:space="preserve"> </w:t>
      </w:r>
      <w:r>
        <w:t xml:space="preserve">and</w:t>
      </w:r>
      <w:r>
        <w:t xml:space="preserve"> </w:t>
      </w:r>
      <m:oMath>
        <m:r>
          <m:t>0.07</m:t>
        </m:r>
      </m:oMath>
      <w:r>
        <w:t xml:space="preserve"> </w:t>
      </w:r>
      <w:r>
        <w:t xml:space="preserve">in the library without cross terms (median</w:t>
      </w:r>
      <w:r>
        <w:t xml:space="preserve"> </w:t>
      </w:r>
      <m:oMath>
        <m:r>
          <m:t>0.061</m:t>
        </m:r>
      </m:oMath>
      <w:r>
        <w:t xml:space="preserve">, 3 of 20), just above the</w:t>
      </w:r>
      <w:r>
        <w:t xml:space="preserve"> </w:t>
      </w:r>
      <w:r>
        <w:t xml:space="preserve">threshold of</w:t>
      </w:r>
      <w:r>
        <w:t xml:space="preserve"> </w:t>
      </w:r>
      <m:oMath>
        <m:r>
          <m:t>0.05</m:t>
        </m:r>
      </m:oMath>
      <w:r>
        <w:t xml:space="preserve">, whereas the full library splits: 5 of its 11 survivors lie between</w:t>
      </w:r>
      <w:r>
        <w:t xml:space="preserve"> </w:t>
      </w:r>
      <m:oMath>
        <m:r>
          <m:t>0.05</m:t>
        </m:r>
      </m:oMath>
      <w:r>
        <w:t xml:space="preserve"> </w:t>
      </w:r>
      <w:r>
        <w:t xml:space="preserve">and</w:t>
      </w:r>
      <w:r>
        <w:t xml:space="preserve"> </w:t>
      </w:r>
      <m:oMath>
        <m:r>
          <m:t>0.07</m:t>
        </m:r>
      </m:oMath>
      <w:r>
        <w:t xml:space="preserve"> </w:t>
      </w:r>
      <w:r>
        <w:t xml:space="preserve">and 6 between</w:t>
      </w:r>
      <w:r>
        <w:t xml:space="preserve"> </w:t>
      </w:r>
      <m:oMath>
        <m:r>
          <m:t>0.14</m:t>
        </m:r>
      </m:oMath>
      <w:r>
        <w:t xml:space="preserve"> </w:t>
      </w:r>
      <w:r>
        <w:t xml:space="preserve">and</w:t>
      </w:r>
      <w:r>
        <w:t xml:space="preserve"> </w:t>
      </w:r>
      <m:oMath>
        <m:r>
          <m:t>0.19</m:t>
        </m:r>
      </m:oMath>
      <w:r>
        <w:t xml:space="preserve"> </w:t>
      </w:r>
      <w:r>
        <w:t xml:space="preserve">(median</w:t>
      </w:r>
      <w:r>
        <w:t xml:space="preserve"> </w:t>
      </w:r>
      <m:oMath>
        <m:r>
          <m:t>0.143</m:t>
        </m:r>
      </m:oMath>
      <w:r>
        <w:t xml:space="preserve">). A coefficient the</w:t>
      </w:r>
      <w:r>
        <w:t xml:space="preserve"> </w:t>
      </w:r>
      <w:r>
        <w:t xml:space="preserve">threshold removes is stored as exactly zero, so the panel says nothing about how far the</w:t>
      </w:r>
      <w:r>
        <w:t xml:space="preserve"> </w:t>
      </w:r>
      <w:r>
        <w:t xml:space="preserve">cut terms fell short. In the two libraries without the bilinear term the direct</w:t>
      </w:r>
      <w:r>
        <w:t xml:space="preserve"> </w:t>
      </w:r>
      <w:r>
        <w:t xml:space="preserve">coefficient is marginal against the threshold in every replicate that keeps it, so the</w:t>
      </w:r>
      <w:r>
        <w:t xml:space="preserve"> </w:t>
      </w:r>
      <w:r>
        <w:t xml:space="preserve">survival gap between them (11 against 3 of 20) is a difference in how often a marginal</w:t>
      </w:r>
      <w:r>
        <w:t xml:space="preserve"> </w:t>
      </w:r>
      <w:r>
        <w:t xml:space="preserve">coefficient clears the cut, not in its size when it does; only the full library, in which</w:t>
      </w:r>
      <w:r>
        <w:t xml:space="preserve"> </w:t>
      </w:r>
      <w:r>
        <w:t xml:space="preserve">the bilinear term is present, estimates a direct coefficient two to four times the cut,</w:t>
      </w:r>
      <w:r>
        <w:t xml:space="preserve"> </w:t>
      </w:r>
      <w:r>
        <w:t xml:space="preserve">and it does so in about half of its surviving replicates.</w:t>
      </w:r>
    </w:p>
    <w:p>
      <w:pPr>
        <w:pStyle w:val="MDPI31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driven by a few seeds. The median describes the typical</w:t>
      </w:r>
      <w:r>
        <w:t xml:space="preserve"> </w:t>
      </w:r>
      <w:r>
        <w:t xml:space="preserve">replicate and the mean describes the aggregate, so both are reported.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w:t>
      </w:r>
      <w:r>
        <w:t xml:space="preserve"> </w:t>
      </w:r>
      <w:r>
        <w:t xml:space="preserve">significant under either objective and its median is exactly zero, because the term is</w:t>
      </w:r>
      <w:r>
        <w:t xml:space="preserve"> </w:t>
      </w:r>
      <w:r>
        <w:t xml:space="preserve">already absent in 17 of the 20 baseline seeds.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MDPI31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default,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default). The separation is not monotone under either</w:t>
      </w:r>
      <w:r>
        <w:t xml:space="preserve"> </w:t>
      </w:r>
      <w:r>
        <w:t xml:space="preserve">objective: the worst retaining level (</w:t>
      </w:r>
      <m:oMath>
        <m:r>
          <m:t>4.04</m:t>
        </m:r>
      </m:oMath>
      <w:r>
        <w:t xml:space="preserve">, priced) is below the best non-retaining one</w:t>
      </w:r>
      <w:r>
        <w:t xml:space="preserve"> </w:t>
      </w:r>
      <w:r>
        <w:t xml:space="preserve">(</w:t>
      </w:r>
      <m:oMath>
        <m:r>
          <m:t>4.61</m:t>
        </m:r>
      </m:oMath>
      <w:r>
        <w:t xml:space="preserve">), so EPI is not monotone in boiler-term survival within this library, as it is</w:t>
      </w:r>
      <w:r>
        <w:t xml:space="preserve"> </w:t>
      </w:r>
      <w:r>
        <w:t xml:space="preserve">not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MDPI31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whereas the three observational splits give a range of</w:t>
      </w:r>
      <w:r>
        <w:t xml:space="preserve"> </w:t>
      </w:r>
      <m:oMath>
        <m:r>
          <m:rPr>
            <m:sty m:val="p"/>
          </m:rPr>
          <m:t>−</m:t>
        </m:r>
        <m:r>
          <m:t>0.2</m:t>
        </m:r>
      </m:oMath>
      <w:r>
        <w:t xml:space="preserve"> </w:t>
      </w:r>
      <w:r>
        <w:t xml:space="preserve">to</w:t>
      </w:r>
      <w:r>
        <w:t xml:space="preserve"> </w:t>
      </w:r>
      <m:oMath>
        <m:r>
          <m:rPr>
            <m:sty m:val="p"/>
          </m:rPr>
          <m:t>+</m:t>
        </m:r>
        <m:r>
          <m:t>2.3</m:t>
        </m:r>
      </m:oMath>
      <w:r>
        <w:t xml:space="preserve">.</w:t>
      </w:r>
    </w:p>
    <w:p>
      <w:pPr>
        <w:pStyle w:val="MDPI31text"/>
      </w:pPr>
      <w:r>
        <w:t xml:space="preserve">The randomised ablation is single-season (2020) and single-recipe, so the causal estimate</w:t>
      </w:r>
      <w:r>
        <w:t xml:space="preserve"> </w:t>
      </w:r>
      <w:r>
        <w:t xml:space="preserve">is not measured under the seasonal variation that the rest of the results report. The</w:t>
      </w:r>
      <w:r>
        <w:t xml:space="preserve"> </w:t>
      </w:r>
      <w:r>
        <w:t xml:space="preserve">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w:t>
      </w:r>
      <w:r>
        <w:t xml:space="preserve"> </w:t>
      </w:r>
      <w:r>
        <w:t xml:space="preserve">(including the term deletion, which is a structural edit and not an assigned factor) are</w:t>
      </w:r>
      <w:r>
        <w:t xml:space="preserve"> </w:t>
      </w:r>
      <w:r>
        <w:t xml:space="preserve">randomised in the seed but not in the library, because the libraries were chosen rather</w:t>
      </w:r>
      <w:r>
        <w:t xml:space="preserve"> </w:t>
      </w:r>
      <w:r>
        <w:t xml:space="preserve">than randomly assigned, so these are controlled comparisons rather than experiments on</w:t>
      </w:r>
      <w:r>
        <w:t xml:space="preserve"> </w:t>
      </w:r>
      <w:r>
        <w:t xml:space="preserve">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MDPI41tablecaption"/>
      </w:pPr>
      <w:r>
        <w:rPr>
          <w:b/>
        </w:rPr>
        <w:t xml:space="preserve">Table 9. </w:t>
      </w: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optimiser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explanation (see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MDPI41threeline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ser (n=20); closed-loop columns are four test seasons \times 20 seeds under the priced objective (n=80, no truncated runs). \xi survival is the fraction of runs retaining the boiler-input coefficient. The p_ntb rows are the 17-feature term-deletion library that tests the bilinear-detour explanation (see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Library</w:t>
            </w:r>
          </w:p>
        </w:tc>
        <w:tc>
          <w:tcPr>
            <w:vAlign w:val="center"/>
          </w:tcPr>
          <w:p>
            <w:pPr>
              <w:pStyle w:val="MDPI42tablebody"/>
              <w:suppressAutoHyphens/>
              <w:jc w:val="center"/>
            </w:pPr>
            <w:r>
              <w:t xml:space="preserve">Controller</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Diverged</w:t>
            </w:r>
          </w:p>
        </w:tc>
        <w:tc>
          <w:tcPr>
            <w:vAlign w:val="center"/>
          </w:tcPr>
          <w:p>
            <w:pPr>
              <w:pStyle w:val="MDPI42tablebody"/>
              <w:suppressAutoHyphens/>
              <w:jc w:val="center"/>
            </w:pPr>
            <m:oMath>
              <m:r>
                <m:t>ξ</m:t>
              </m:r>
            </m:oMath>
            <w:r>
              <w:t xml:space="preserve">​</w:t>
            </w:r>
          </w:p>
        </w:tc>
        <w:tc>
          <w:tcPr>
            <w:vAlign w:val="center"/>
          </w:tcPr>
          <w:p>
            <w:pPr>
              <w:pStyle w:val="MDPI42tablebody"/>
              <w:suppressAutoHyphens/>
              <w:jc w:val="center"/>
            </w:pPr>
            <w:r>
              <w:t xml:space="preserve">EPI</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median (</w:t>
            </w:r>
            <m:oMath>
              <m:sSup>
                <m:e>
                  <m:r>
                    <m:t>​</m:t>
                  </m:r>
                </m:e>
                <m:sup>
                  <m:r>
                    <m:rPr>
                      <m:sty m:val="p"/>
                    </m:rPr>
                    <m:t>∘</m:t>
                  </m:r>
                </m:sup>
              </m:sSup>
            </m:oMath>
            <w:r>
              <w:t xml:space="preserve">C)</w:t>
            </w:r>
          </w:p>
        </w:tc>
        <w:tc>
          <w:tcPr>
            <w:vAlign w:val="center"/>
          </w:tcPr>
          <w:p>
            <w:pPr>
              <w:pStyle w:val="MDPI42tablebody"/>
              <w:suppressAutoHyphens/>
              <w:jc w:val="center"/>
            </w:pPr>
            <w:r>
              <w:t xml:space="preserve">fraction</w:t>
            </w:r>
          </w:p>
        </w:tc>
        <w:tc>
          <w:tcPr>
            <w:vAlign w:val="center"/>
          </w:tcPr>
          <w:p>
            <w:pPr>
              <w:pStyle w:val="MDPI42tablebody"/>
              <w:suppressAutoHyphens/>
              <w:jc w:val="center"/>
            </w:pPr>
            <w:r>
              <w:t xml:space="preserve">survival</w:t>
            </w:r>
          </w:p>
        </w:tc>
        <w:tc>
          <w:tcPr>
            <w:vAlign w:val="center"/>
          </w:tcPr>
          <w:p>
            <w:pPr>
              <w:pStyle w:val="MDPI42tablebody"/>
              <w:suppressAutoHyphens/>
              <w:jc w:val="center"/>
            </w:pPr>
            <w:r>
              <w:t xml:space="preserve">(four-season)</w:t>
            </w:r>
          </w:p>
        </w:tc>
      </w:tr>
      <w:tr>
        <w:tc>
          <w:tcPr>
            <w:gridSpan w:val="7"/>
            <w:vAlign w:val="center"/>
          </w:tcPr>
          <w:p>
            <w:pPr>
              <w:pStyle w:val="MDPI42tablebody"/>
              <w:keepNext/>
              <w:suppressAutoHyphens/>
              <w:spacing w:before="60"/>
              <w:jc w:val="left"/>
            </w:pPr>
            <w:r>
              <w:rPr>
                <w:i/>
                <w:iCs/>
              </w:rPr>
              <w:t xml:space="preserve">Ensemble estimator</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w:r>
              <w:t xml:space="preserve">8.21</w:t>
            </w:r>
          </w:p>
        </w:tc>
        <w:tc>
          <w:tcPr>
            <w:vAlign w:val="center"/>
          </w:tcPr>
          <w:p>
            <w:pPr>
              <w:pStyle w:val="MDPI42tablebody"/>
              <w:suppressAutoHyphens/>
              <w:jc w:val="center"/>
            </w:pPr>
            <w:r>
              <w:rPr>
                <w:b/>
                <w:bCs/>
              </w:rPr>
              <w:t xml:space="preserve">2.67</w:t>
            </w:r>
          </w:p>
        </w:tc>
        <w:tc>
          <w:tcPr>
            <w:vAlign w:val="center"/>
          </w:tcPr>
          <w:p>
            <w:pPr>
              <w:pStyle w:val="MDPI42tablebody"/>
              <w:suppressAutoHyphens/>
              <w:jc w:val="center"/>
            </w:pPr>
            <w:r>
              <w:rPr>
                <w:b/>
                <w:bCs/>
              </w:rPr>
              <w:t xml:space="preserve">0.0000</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b"/>
                </m:rPr>
                <m:t>+</m:t>
              </m:r>
              <m:r>
                <m:rPr>
                  <m:sty m:val="b"/>
                </m:rPr>
                <m:t>4.32</m:t>
              </m:r>
              <m:r>
                <m:rPr>
                  <m:sty m:val="b"/>
                </m:rPr>
                <m:t>±</m:t>
              </m:r>
              <m:r>
                <m:rPr>
                  <m:sty m:val="b"/>
                </m:rPr>
                <m:t>4.08</m:t>
              </m:r>
            </m:oMath>
            <w:r>
              <w:t xml:space="preserve">​</w:t>
            </w:r>
          </w:p>
        </w:tc>
      </w:tr>
      <w:tr>
        <w:tc>
          <w:tcPr>
            <w:vAlign w:val="center"/>
          </w:tcPr>
          <w:p>
            <w:pPr>
              <w:pStyle w:val="MDPI42tablebody"/>
              <w:suppressAutoHyphens/>
              <w:jc w:val="center"/>
            </w:pPr>
            <w:r>
              <w:rPr>
                <w:rStyle w:val="VerbatimChar"/>
              </w:rPr>
              <w:t xml:space="preserve">p_nc</w:t>
            </w:r>
          </w:p>
        </w:tc>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w:r>
              <w:t xml:space="preserve">24.52</w:t>
            </w:r>
          </w:p>
        </w:tc>
        <w:tc>
          <w:tcPr>
            <w:vAlign w:val="center"/>
          </w:tcPr>
          <w:p>
            <w:pPr>
              <w:pStyle w:val="MDPI42tablebody"/>
              <w:suppressAutoHyphens/>
              <w:jc w:val="center"/>
            </w:pPr>
            <w:r>
              <w:t xml:space="preserve">10.99</w:t>
            </w:r>
          </w:p>
        </w:tc>
        <w:tc>
          <w:tcPr>
            <w:vAlign w:val="center"/>
          </w:tcPr>
          <w:p>
            <w:pPr>
              <w:pStyle w:val="MDPI42tablebody"/>
              <w:suppressAutoHyphens/>
              <w:jc w:val="center"/>
            </w:pPr>
            <w:r>
              <w:t xml:space="preserve">0.0208</w:t>
            </w:r>
          </w:p>
        </w:tc>
        <w:tc>
          <w:tcPr>
            <w:vAlign w:val="center"/>
          </w:tcPr>
          <w:p>
            <w:pPr>
              <w:pStyle w:val="MDPI42tablebody"/>
              <w:suppressAutoHyphens/>
              <w:jc w:val="center"/>
            </w:pPr>
            <w:r>
              <w:t xml:space="preserve">0.15</w:t>
            </w:r>
          </w:p>
        </w:tc>
        <w:tc>
          <w:tcPr>
            <w:vAlign w:val="center"/>
          </w:tcPr>
          <w:p>
            <w:pPr>
              <w:pStyle w:val="MDPI42tablebody"/>
              <w:suppressAutoHyphens/>
              <w:jc w:val="center"/>
            </w:pPr>
            <m:oMath>
              <m:r>
                <m:rPr>
                  <m:sty m:val="p"/>
                </m:rPr>
                <m:t>+</m:t>
              </m:r>
              <m:r>
                <m:t>0.28</m:t>
              </m:r>
              <m:r>
                <m:rPr>
                  <m:sty m:val="p"/>
                </m:rPr>
                <m:t>±</m:t>
              </m:r>
              <m:r>
                <m:t>4.11</m:t>
              </m:r>
            </m:oMath>
            <w:r>
              <w:t xml:space="preserve">​</w:t>
            </w:r>
          </w:p>
        </w:tc>
      </w:tr>
      <w:tr>
        <w:tc>
          <w:tcPr>
            <w:vAlign w:val="center"/>
          </w:tcPr>
          <w:p>
            <w:pPr>
              <w:pStyle w:val="MDPI42tablebody"/>
              <w:suppressAutoHyphens/>
              <w:jc w:val="center"/>
            </w:pPr>
            <w:r>
              <w:rPr>
                <w:rStyle w:val="VerbatimChar"/>
              </w:rPr>
              <w:t xml:space="preserve">phys</w:t>
            </w:r>
          </w:p>
        </w:tc>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w:r>
              <w:t xml:space="preserve">53.43</w:t>
            </w:r>
          </w:p>
        </w:tc>
        <w:tc>
          <w:tcPr>
            <w:vAlign w:val="center"/>
          </w:tcPr>
          <w:p>
            <w:pPr>
              <w:pStyle w:val="MDPI42tablebody"/>
              <w:suppressAutoHyphens/>
              <w:jc w:val="center"/>
            </w:pPr>
            <w:r>
              <w:t xml:space="preserve">24.27</w:t>
            </w:r>
          </w:p>
        </w:tc>
        <w:tc>
          <w:tcPr>
            <w:vAlign w:val="center"/>
          </w:tcPr>
          <w:p>
            <w:pPr>
              <w:pStyle w:val="MDPI42tablebody"/>
              <w:suppressAutoHyphens/>
              <w:jc w:val="center"/>
            </w:pPr>
            <w:r>
              <w:t xml:space="preserve">0.0767</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p"/>
                </m:rPr>
                <m:t>+</m:t>
              </m:r>
              <m:r>
                <m:t>2.75</m:t>
              </m:r>
              <m:r>
                <m:rPr>
                  <m:sty m:val="p"/>
                </m:rPr>
                <m:t>±</m:t>
              </m:r>
              <m:r>
                <m:t>3.47</m:t>
              </m:r>
            </m:oMath>
            <w:r>
              <w:t xml:space="preserve">​</w:t>
            </w:r>
          </w:p>
        </w:tc>
      </w:tr>
      <w:tr>
        <w:tc>
          <w:tcPr>
            <w:vAlign w:val="center"/>
          </w:tcPr>
          <w:p>
            <w:pPr>
              <w:pStyle w:val="MDPI42tablebody"/>
              <w:suppressAutoHyphens/>
              <w:jc w:val="center"/>
            </w:pPr>
            <w:r>
              <w:rPr>
                <w:rStyle w:val="VerbatimChar"/>
              </w:rPr>
              <w:t xml:space="preserve">p_ntb</w:t>
            </w:r>
          </w:p>
        </w:tc>
        <w:tc>
          <w:tcPr>
            <w:vAlign w:val="center"/>
          </w:tcPr>
          <w:p>
            <w:pPr>
              <w:pStyle w:val="MDPI42tablebody"/>
              <w:suppressAutoHyphens/>
              <w:jc w:val="center"/>
            </w:pPr>
            <w:r>
              <w:rPr>
                <w:rStyle w:val="VerbatimChar"/>
              </w:rPr>
              <w:t xml:space="preserve">sindy_mpc_notuboil_ens</w:t>
            </w:r>
          </w:p>
        </w:tc>
        <w:tc>
          <w:tcPr>
            <w:vAlign w:val="center"/>
          </w:tcPr>
          <w:p>
            <w:pPr>
              <w:pStyle w:val="MDPI42tablebody"/>
              <w:suppressAutoHyphens/>
              <w:jc w:val="center"/>
            </w:pPr>
            <w:r>
              <w:t xml:space="preserve">52.28</w:t>
            </w:r>
          </w:p>
        </w:tc>
        <w:tc>
          <w:tcPr>
            <w:vAlign w:val="center"/>
          </w:tcPr>
          <w:p>
            <w:pPr>
              <w:pStyle w:val="MDPI42tablebody"/>
              <w:suppressAutoHyphens/>
              <w:jc w:val="center"/>
            </w:pPr>
            <w:r>
              <w:t xml:space="preserve">24.17</w:t>
            </w:r>
          </w:p>
        </w:tc>
        <w:tc>
          <w:tcPr>
            <w:vAlign w:val="center"/>
          </w:tcPr>
          <w:p>
            <w:pPr>
              <w:pStyle w:val="MDPI42tablebody"/>
              <w:suppressAutoHyphens/>
              <w:jc w:val="center"/>
            </w:pPr>
            <w:r>
              <w:t xml:space="preserve">0.0842</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rPr>
                  <m:sty m:val="p"/>
                </m:rPr>
                <m:t>+</m:t>
              </m:r>
              <m:r>
                <m:t>2.11</m:t>
              </m:r>
              <m:r>
                <m:rPr>
                  <m:sty m:val="p"/>
                </m:rPr>
                <m:t>±</m:t>
              </m:r>
              <m:r>
                <m:t>3.51</m:t>
              </m:r>
            </m:oMath>
            <w:r>
              <w:t xml:space="preserve">​</w:t>
            </w:r>
          </w:p>
        </w:tc>
      </w:tr>
      <w:tr>
        <w:tc>
          <w:tcPr>
            <w:gridSpan w:val="7"/>
            <w:vAlign w:val="center"/>
          </w:tcPr>
          <w:p>
            <w:pPr>
              <w:pStyle w:val="MDPI42tablebody"/>
              <w:keepNext/>
              <w:suppressAutoHyphens/>
              <w:spacing w:before="60"/>
              <w:jc w:val="left"/>
            </w:pPr>
            <w:r>
              <w:rPr>
                <w:i/>
                <w:iCs/>
              </w:rPr>
              <w:t xml:space="preserve">STLSQ estimator</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w:r>
              <w:t xml:space="preserve">8.21</w:t>
            </w:r>
          </w:p>
        </w:tc>
        <w:tc>
          <w:tcPr>
            <w:vAlign w:val="center"/>
          </w:tcPr>
          <w:p>
            <w:pPr>
              <w:pStyle w:val="MDPI42tablebody"/>
              <w:suppressAutoHyphens/>
              <w:jc w:val="center"/>
            </w:pPr>
            <w:r>
              <w:t xml:space="preserve">2.67</w:t>
            </w:r>
          </w:p>
        </w:tc>
        <w:tc>
          <w:tcPr>
            <w:vAlign w:val="center"/>
          </w:tcPr>
          <w:p>
            <w:pPr>
              <w:pStyle w:val="MDPI42tablebody"/>
              <w:suppressAutoHyphens/>
              <w:jc w:val="center"/>
            </w:pPr>
            <w:r>
              <w:t xml:space="preserve">0.0000</w:t>
            </w:r>
          </w:p>
        </w:tc>
        <w:tc>
          <w:tcPr>
            <w:vAlign w:val="center"/>
          </w:tcPr>
          <w:p>
            <w:pPr>
              <w:pStyle w:val="MDPI42tablebody"/>
              <w:suppressAutoHyphens/>
              <w:jc w:val="center"/>
            </w:pPr>
            <w:r>
              <w:t xml:space="preserve">0.50</w:t>
            </w:r>
          </w:p>
        </w:tc>
        <w:tc>
          <w:tcPr>
            <w:vAlign w:val="center"/>
          </w:tcPr>
          <w:p>
            <w:pPr>
              <w:pStyle w:val="MDPI42tablebody"/>
              <w:suppressAutoHyphens/>
              <w:jc w:val="center"/>
            </w:pPr>
            <m:oMath>
              <m:r>
                <m:rPr>
                  <m:sty m:val="p"/>
                </m:rPr>
                <m:t>+</m:t>
              </m:r>
              <m:r>
                <m:t>3.83</m:t>
              </m:r>
              <m:r>
                <m:rPr>
                  <m:sty m:val="p"/>
                </m:rPr>
                <m:t>±</m:t>
              </m:r>
              <m:r>
                <m:t>4.23</m:t>
              </m:r>
            </m:oMath>
            <w:r>
              <w:t xml:space="preserve">​</w:t>
            </w:r>
          </w:p>
        </w:tc>
      </w:tr>
      <w:tr>
        <w:tc>
          <w:tcPr>
            <w:vAlign w:val="center"/>
          </w:tcPr>
          <w:p>
            <w:pPr>
              <w:pStyle w:val="MDPI42tablebody"/>
              <w:suppressAutoHyphens/>
              <w:jc w:val="center"/>
            </w:pPr>
            <w:r>
              <w:rPr>
                <w:rStyle w:val="VerbatimChar"/>
              </w:rPr>
              <w:t xml:space="preserve">p_nc</w:t>
            </w:r>
          </w:p>
        </w:tc>
        <w:tc>
          <w:tcPr>
            <w:vAlign w:val="center"/>
          </w:tcPr>
          <w:p>
            <w:pPr>
              <w:pStyle w:val="MDPI42tablebody"/>
              <w:suppressAutoHyphens/>
              <w:jc w:val="center"/>
            </w:pPr>
            <w:r>
              <w:t xml:space="preserve">– (not run)</w:t>
            </w:r>
          </w:p>
        </w:tc>
        <w:tc>
          <w:tcPr>
            <w:vAlign w:val="center"/>
          </w:tcPr>
          <w:p>
            <w:pPr>
              <w:pStyle w:val="MDPI42tablebody"/>
              <w:suppressAutoHyphens/>
              <w:jc w:val="center"/>
            </w:pPr>
            <w:r>
              <w:t xml:space="preserve">24.52</w:t>
            </w:r>
          </w:p>
        </w:tc>
        <w:tc>
          <w:tcPr>
            <w:vAlign w:val="center"/>
          </w:tcPr>
          <w:p>
            <w:pPr>
              <w:pStyle w:val="MDPI42tablebody"/>
              <w:suppressAutoHyphens/>
              <w:jc w:val="center"/>
            </w:pPr>
            <w:r>
              <w:t xml:space="preserve">10.45</w:t>
            </w:r>
          </w:p>
        </w:tc>
        <w:tc>
          <w:tcPr>
            <w:vAlign w:val="center"/>
          </w:tcPr>
          <w:p>
            <w:pPr>
              <w:pStyle w:val="MDPI42tablebody"/>
              <w:suppressAutoHyphens/>
              <w:jc w:val="center"/>
            </w:pPr>
            <w:r>
              <w:t xml:space="preserve">0.0200</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r>
      <w:tr>
        <w:tc>
          <w:tcPr>
            <w:vAlign w:val="center"/>
          </w:tcPr>
          <w:p>
            <w:pPr>
              <w:pStyle w:val="MDPI42tablebody"/>
              <w:suppressAutoHyphens/>
              <w:jc w:val="center"/>
            </w:pPr>
            <w:r>
              <w:rPr>
                <w:rStyle w:val="VerbatimChar"/>
              </w:rPr>
              <w:t xml:space="preserve">phys</w:t>
            </w:r>
          </w:p>
        </w:tc>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w:r>
              <w:t xml:space="preserve">53.43</w:t>
            </w:r>
          </w:p>
        </w:tc>
        <w:tc>
          <w:tcPr>
            <w:vAlign w:val="center"/>
          </w:tcPr>
          <w:p>
            <w:pPr>
              <w:pStyle w:val="MDPI42tablebody"/>
              <w:suppressAutoHyphens/>
              <w:jc w:val="center"/>
            </w:pPr>
            <w:r>
              <w:t xml:space="preserve">24.49</w:t>
            </w:r>
          </w:p>
        </w:tc>
        <w:tc>
          <w:tcPr>
            <w:vAlign w:val="center"/>
          </w:tcPr>
          <w:p>
            <w:pPr>
              <w:pStyle w:val="MDPI42tablebody"/>
              <w:suppressAutoHyphens/>
              <w:jc w:val="center"/>
            </w:pPr>
            <w:r>
              <w:t xml:space="preserve">0.0750</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p"/>
                </m:rPr>
                <m:t>+</m:t>
              </m:r>
              <m:r>
                <m:t>2.48</m:t>
              </m:r>
              <m:r>
                <m:rPr>
                  <m:sty m:val="p"/>
                </m:rPr>
                <m:t>±</m:t>
              </m:r>
              <m:r>
                <m:t>3.62</m:t>
              </m:r>
            </m:oMath>
            <w:r>
              <w:t xml:space="preserve">​</w:t>
            </w:r>
          </w:p>
        </w:tc>
      </w:tr>
      <w:tr>
        <w:tc>
          <w:tcPr>
            <w:vAlign w:val="center"/>
          </w:tcPr>
          <w:p>
            <w:pPr>
              <w:pStyle w:val="MDPI42tablebody"/>
              <w:suppressAutoHyphens/>
              <w:jc w:val="center"/>
            </w:pPr>
            <w:r>
              <w:rPr>
                <w:rStyle w:val="VerbatimChar"/>
              </w:rPr>
              <w:t xml:space="preserve">p_ntb</w:t>
            </w:r>
          </w:p>
        </w:tc>
        <w:tc>
          <w:tcPr>
            <w:vAlign w:val="center"/>
          </w:tcPr>
          <w:p>
            <w:pPr>
              <w:pStyle w:val="MDPI42tablebody"/>
              <w:suppressAutoHyphens/>
              <w:jc w:val="center"/>
            </w:pPr>
            <w:r>
              <w:rPr>
                <w:rStyle w:val="VerbatimChar"/>
              </w:rPr>
              <w:t xml:space="preserve">sindy_mpc_notuboil</w:t>
            </w:r>
          </w:p>
        </w:tc>
        <w:tc>
          <w:tcPr>
            <w:vAlign w:val="center"/>
          </w:tcPr>
          <w:p>
            <w:pPr>
              <w:pStyle w:val="MDPI42tablebody"/>
              <w:suppressAutoHyphens/>
              <w:jc w:val="center"/>
            </w:pPr>
            <w:r>
              <w:t xml:space="preserve">52.28</w:t>
            </w:r>
          </w:p>
        </w:tc>
        <w:tc>
          <w:tcPr>
            <w:vAlign w:val="center"/>
          </w:tcPr>
          <w:p>
            <w:pPr>
              <w:pStyle w:val="MDPI42tablebody"/>
              <w:suppressAutoHyphens/>
              <w:jc w:val="center"/>
            </w:pPr>
            <w:r>
              <w:t xml:space="preserve">23.58</w:t>
            </w:r>
          </w:p>
        </w:tc>
        <w:tc>
          <w:tcPr>
            <w:vAlign w:val="center"/>
          </w:tcPr>
          <w:p>
            <w:pPr>
              <w:pStyle w:val="MDPI42tablebody"/>
              <w:suppressAutoHyphens/>
              <w:jc w:val="center"/>
            </w:pPr>
            <w:r>
              <w:t xml:space="preserve">0.0783</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rPr>
                  <m:sty m:val="p"/>
                </m:rPr>
                <m:t>+</m:t>
              </m:r>
              <m:r>
                <m:t>2.28</m:t>
              </m:r>
              <m:r>
                <m:rPr>
                  <m:sty m:val="p"/>
                </m:rPr>
                <m:t>±</m:t>
              </m:r>
              <m:r>
                <m:t>3.55</m:t>
              </m:r>
            </m:oMath>
            <w:r>
              <w:t xml:space="preserve">​</w:t>
            </w:r>
          </w:p>
        </w:tc>
      </w:tr>
    </w:tbl>
    <w:bookmarkEnd w:id="56"/>
    <w:p>
      <w:pPr>
        <w:pStyle w:val="MDPI43tablefooter"/>
      </w:pPr>
      <w:r>
        <w:t xml:space="preserve">The first three columns are monotone across the three nested libraries and the last two</w:t>
      </w:r>
      <w:r>
        <w:t xml:space="preserve"> </w:t>
      </w:r>
      <w:r>
        <w:t xml:space="preserve">are not: the worst-conditioned library outscores the middle one by a factor of 10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MDPI41tablecaption"/>
      </w:pPr>
      <w:r>
        <w:rPr>
          <w:b/>
        </w:rPr>
        <w:t xml:space="preserve">Table 10. </w:t>
      </w: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default-objective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MDPI41threeline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default-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vAlign w:val="center"/>
          </w:tcPr>
          <w:p>
            <w:pPr>
              <w:pStyle w:val="MDPI42tablebody"/>
              <w:suppressAutoHyphens/>
              <w:jc w:val="center"/>
            </w:pPr>
            <m:oMath>
              <m:r>
                <m:t>λ</m:t>
              </m:r>
            </m:oMath>
            <w:r>
              <w:t xml:space="preserve">​</w:t>
            </w:r>
          </w:p>
        </w:tc>
        <w:tc>
          <w:tcPr>
            <w:vAlign w:val="center"/>
          </w:tcPr>
          <w:p>
            <w:pPr>
              <w:pStyle w:val="MDPI42tablebody"/>
              <w:suppressAutoHyphens/>
              <w:jc w:val="center"/>
            </w:pPr>
            <w:r>
              <w:t xml:space="preserve">Active terms</w:t>
            </w:r>
          </w:p>
        </w:tc>
        <w:tc>
          <w:tcPr>
            <w:vAlign w:val="center"/>
          </w:tcPr>
          <w:p>
            <w:pPr>
              <w:pStyle w:val="MDPI42tablebody"/>
              <w:suppressAutoHyphens/>
              <w:jc w:val="center"/>
            </w:pPr>
            <m:oMath>
              <m:r>
                <m:t>ξ</m:t>
              </m:r>
            </m:oMath>
            <w:r>
              <w:t xml:space="preserve"> </w:t>
            </w:r>
            <w:r>
              <w:t xml:space="preserve">survival</w:t>
            </w:r>
          </w:p>
        </w:tc>
        <w:tc>
          <w:tcPr>
            <w:vAlign w:val="center"/>
          </w:tcPr>
          <w:p>
            <w:pPr>
              <w:pStyle w:val="MDPI42tablebody"/>
              <w:suppressAutoHyphens/>
              <w:jc w:val="center"/>
            </w:pPr>
            <w:r>
              <w:t xml:space="preserve">EPI (priced)</w:t>
            </w:r>
          </w:p>
        </w:tc>
        <w:tc>
          <w:tcPr>
            <w:vAlign w:val="center"/>
          </w:tcPr>
          <w:p>
            <w:pPr>
              <w:pStyle w:val="MDPI42tablebody"/>
              <w:suppressAutoHyphens/>
              <w:jc w:val="center"/>
            </w:pPr>
            <w:r>
              <w:t xml:space="preserve">EPI (default)</w:t>
            </w:r>
          </w:p>
        </w:tc>
        <w:tc>
          <w:tcPr>
            <w:vAlign w:val="center"/>
          </w:tcPr>
          <w:p>
            <w:pPr>
              <w:pStyle w:val="MDPI42tablebody"/>
              <w:suppressAutoHyphens/>
              <w:jc w:val="center"/>
            </w:pPr>
            <m:oMath>
              <m:r>
                <m:rPr>
                  <m:sty m:val="p"/>
                </m:rPr>
                <m:t>Δ</m:t>
              </m:r>
            </m:oMath>
            <w:r>
              <w:t xml:space="preserve">​</w:t>
            </w:r>
          </w:p>
        </w:tc>
      </w:tr>
      <w:tr>
        <w:tc>
          <w:tcPr>
            <w:vAlign w:val="center"/>
          </w:tcPr>
          <w:p>
            <w:pPr>
              <w:pStyle w:val="MDPI42tablebody"/>
              <w:suppressAutoHyphens/>
              <w:jc w:val="center"/>
            </w:pPr>
            <m:oMath>
              <m:sSup>
                <m:e>
                  <m:r>
                    <m:t>10</m:t>
                  </m:r>
                </m:e>
                <m:sup>
                  <m:r>
                    <m:rPr>
                      <m:sty m:val="p"/>
                    </m:rPr>
                    <m:t>−</m:t>
                  </m:r>
                  <m:r>
                    <m:t>6</m:t>
                  </m:r>
                </m:sup>
              </m:sSup>
            </m:oMath>
            <w:r>
              <w:t xml:space="preserve">​</w:t>
            </w:r>
          </w:p>
        </w:tc>
        <w:tc>
          <w:tcPr>
            <w:vAlign w:val="center"/>
          </w:tcPr>
          <w:p>
            <w:pPr>
              <w:pStyle w:val="MDPI42tablebody"/>
              <w:suppressAutoHyphens/>
              <w:jc w:val="center"/>
            </w:pPr>
            <w:r>
              <w:t xml:space="preserve">53.95</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6.58</m:t>
              </m:r>
              <m:r>
                <m:rPr>
                  <m:sty m:val="p"/>
                </m:rPr>
                <m:t>±</m:t>
              </m:r>
              <m:r>
                <m:t>1.25</m:t>
              </m:r>
            </m:oMath>
            <w:r>
              <w:t xml:space="preserve">​</w:t>
            </w:r>
          </w:p>
        </w:tc>
        <w:tc>
          <w:tcPr>
            <w:vAlign w:val="center"/>
          </w:tcPr>
          <w:p>
            <w:pPr>
              <w:pStyle w:val="MDPI42tablebody"/>
              <w:suppressAutoHyphens/>
              <w:jc w:val="center"/>
            </w:pPr>
            <m:oMath>
              <m:r>
                <m:t>3.68</m:t>
              </m:r>
              <m:r>
                <m:rPr>
                  <m:sty m:val="p"/>
                </m:rPr>
                <m:t>±</m:t>
              </m:r>
              <m:r>
                <m:t>1.85</m:t>
              </m:r>
            </m:oMath>
            <w:r>
              <w:t xml:space="preserve">​</w:t>
            </w:r>
          </w:p>
        </w:tc>
        <w:tc>
          <w:tcPr>
            <w:vAlign w:val="center"/>
          </w:tcPr>
          <w:p>
            <w:pPr>
              <w:pStyle w:val="MDPI42tablebody"/>
              <w:suppressAutoHyphens/>
              <w:jc w:val="center"/>
            </w:pPr>
            <m:oMath>
              <m:r>
                <m:rPr>
                  <m:sty m:val="p"/>
                </m:rPr>
                <m:t>+</m:t>
              </m:r>
              <m:r>
                <m:t>2.90</m:t>
              </m:r>
            </m:oMath>
            <w:r>
              <w:t xml:space="preserve">​</w:t>
            </w:r>
          </w:p>
        </w:tc>
      </w:tr>
      <w:tr>
        <w:tc>
          <w:tcPr>
            <w:vAlign w:val="center"/>
          </w:tcPr>
          <w:p>
            <w:pPr>
              <w:pStyle w:val="MDPI42tablebody"/>
              <w:suppressAutoHyphens/>
              <w:jc w:val="center"/>
            </w:pPr>
            <m:oMath>
              <m:sSup>
                <m:e>
                  <m:r>
                    <m:t>10</m:t>
                  </m:r>
                </m:e>
                <m:sup>
                  <m:r>
                    <m:rPr>
                      <m:sty m:val="p"/>
                    </m:rPr>
                    <m:t>−</m:t>
                  </m:r>
                  <m:r>
                    <m:t>3</m:t>
                  </m:r>
                </m:sup>
              </m:sSup>
            </m:oMath>
            <w:r>
              <w:t xml:space="preserve">​</w:t>
            </w:r>
          </w:p>
        </w:tc>
        <w:tc>
          <w:tcPr>
            <w:vAlign w:val="center"/>
          </w:tcPr>
          <w:p>
            <w:pPr>
              <w:pStyle w:val="MDPI42tablebody"/>
              <w:suppressAutoHyphens/>
              <w:jc w:val="center"/>
            </w:pPr>
            <w:r>
              <w:t xml:space="preserve">49.60</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6.58</m:t>
              </m:r>
              <m:r>
                <m:rPr>
                  <m:sty m:val="p"/>
                </m:rPr>
                <m:t>±</m:t>
              </m:r>
              <m:r>
                <m:t>1.23</m:t>
              </m:r>
            </m:oMath>
            <w:r>
              <w:t xml:space="preserve">​</w:t>
            </w:r>
          </w:p>
        </w:tc>
        <w:tc>
          <w:tcPr>
            <w:vAlign w:val="center"/>
          </w:tcPr>
          <w:p>
            <w:pPr>
              <w:pStyle w:val="MDPI42tablebody"/>
              <w:suppressAutoHyphens/>
              <w:jc w:val="center"/>
            </w:pPr>
            <m:oMath>
              <m:r>
                <m:t>3.63</m:t>
              </m:r>
              <m:r>
                <m:rPr>
                  <m:sty m:val="p"/>
                </m:rPr>
                <m:t>±</m:t>
              </m:r>
              <m:r>
                <m:t>1.93</m:t>
              </m:r>
            </m:oMath>
            <w:r>
              <w:t xml:space="preserve">​</w:t>
            </w:r>
          </w:p>
        </w:tc>
        <w:tc>
          <w:tcPr>
            <w:vAlign w:val="center"/>
          </w:tcPr>
          <w:p>
            <w:pPr>
              <w:pStyle w:val="MDPI42tablebody"/>
              <w:suppressAutoHyphens/>
              <w:jc w:val="center"/>
            </w:pPr>
            <m:oMath>
              <m:r>
                <m:rPr>
                  <m:sty m:val="p"/>
                </m:rPr>
                <m:t>+</m:t>
              </m:r>
              <m:r>
                <m:t>2.95</m:t>
              </m:r>
            </m:oMath>
            <w:r>
              <w:t xml:space="preserve">​</w:t>
            </w:r>
          </w:p>
        </w:tc>
      </w:tr>
      <w:tr>
        <w:tc>
          <w:tcPr>
            <w:vAlign w:val="center"/>
          </w:tcPr>
          <w:p>
            <w:pPr>
              <w:pStyle w:val="MDPI42tablebody"/>
              <w:suppressAutoHyphens/>
              <w:jc w:val="center"/>
            </w:pPr>
            <w:r>
              <w:t xml:space="preserve">0.01</w:t>
            </w:r>
          </w:p>
        </w:tc>
        <w:tc>
          <w:tcPr>
            <w:vAlign w:val="center"/>
          </w:tcPr>
          <w:p>
            <w:pPr>
              <w:pStyle w:val="MDPI42tablebody"/>
              <w:suppressAutoHyphens/>
              <w:jc w:val="center"/>
            </w:pPr>
            <w:r>
              <w:t xml:space="preserve">42.65</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6.11</m:t>
              </m:r>
              <m:r>
                <m:rPr>
                  <m:sty m:val="p"/>
                </m:rPr>
                <m:t>±</m:t>
              </m:r>
              <m:r>
                <m:t>2.52</m:t>
              </m:r>
            </m:oMath>
            <w:r>
              <w:t xml:space="preserve">​</w:t>
            </w:r>
          </w:p>
        </w:tc>
        <w:tc>
          <w:tcPr>
            <w:vAlign w:val="center"/>
          </w:tcPr>
          <w:p>
            <w:pPr>
              <w:pStyle w:val="MDPI42tablebody"/>
              <w:suppressAutoHyphens/>
              <w:jc w:val="center"/>
            </w:pPr>
            <m:oMath>
              <m:r>
                <m:t>3.21</m:t>
              </m:r>
              <m:r>
                <m:rPr>
                  <m:sty m:val="p"/>
                </m:rPr>
                <m:t>±</m:t>
              </m:r>
              <m:r>
                <m:t>3.25</m:t>
              </m:r>
            </m:oMath>
            <w:r>
              <w:t xml:space="preserve">​</w:t>
            </w:r>
          </w:p>
        </w:tc>
        <w:tc>
          <w:tcPr>
            <w:vAlign w:val="center"/>
          </w:tcPr>
          <w:p>
            <w:pPr>
              <w:pStyle w:val="MDPI42tablebody"/>
              <w:suppressAutoHyphens/>
              <w:jc w:val="center"/>
            </w:pPr>
            <m:oMath>
              <m:r>
                <m:rPr>
                  <m:sty m:val="p"/>
                </m:rPr>
                <m:t>+</m:t>
              </m:r>
              <m:r>
                <m:t>2.90</m:t>
              </m:r>
            </m:oMath>
            <w:r>
              <w:t xml:space="preserve">​</w:t>
            </w:r>
          </w:p>
        </w:tc>
      </w:tr>
      <w:tr>
        <w:tc>
          <w:tcPr>
            <w:vAlign w:val="center"/>
          </w:tcPr>
          <w:p>
            <w:pPr>
              <w:pStyle w:val="MDPI42tablebody"/>
              <w:suppressAutoHyphens/>
              <w:jc w:val="center"/>
            </w:pPr>
            <w:r>
              <w:t xml:space="preserve">0.02</w:t>
            </w:r>
          </w:p>
        </w:tc>
        <w:tc>
          <w:tcPr>
            <w:vAlign w:val="center"/>
          </w:tcPr>
          <w:p>
            <w:pPr>
              <w:pStyle w:val="MDPI42tablebody"/>
              <w:suppressAutoHyphens/>
              <w:jc w:val="center"/>
            </w:pPr>
            <w:r>
              <w:t xml:space="preserve">38.80</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6.38</m:t>
              </m:r>
              <m:r>
                <m:rPr>
                  <m:sty m:val="p"/>
                </m:rPr>
                <m:t>±</m:t>
              </m:r>
              <m:r>
                <m:t>2.00</m:t>
              </m:r>
            </m:oMath>
            <w:r>
              <w:t xml:space="preserve">​</w:t>
            </w:r>
          </w:p>
        </w:tc>
        <w:tc>
          <w:tcPr>
            <w:vAlign w:val="center"/>
          </w:tcPr>
          <w:p>
            <w:pPr>
              <w:pStyle w:val="MDPI42tablebody"/>
              <w:suppressAutoHyphens/>
              <w:jc w:val="center"/>
            </w:pPr>
            <m:oMath>
              <m:r>
                <m:t>4.39</m:t>
              </m:r>
              <m:r>
                <m:rPr>
                  <m:sty m:val="p"/>
                </m:rPr>
                <m:t>±</m:t>
              </m:r>
              <m:r>
                <m:t>1.46</m:t>
              </m:r>
            </m:oMath>
            <w:r>
              <w:t xml:space="preserve">​</w:t>
            </w:r>
          </w:p>
        </w:tc>
        <w:tc>
          <w:tcPr>
            <w:vAlign w:val="center"/>
          </w:tcPr>
          <w:p>
            <w:pPr>
              <w:pStyle w:val="MDPI42tablebody"/>
              <w:suppressAutoHyphens/>
              <w:jc w:val="center"/>
            </w:pPr>
            <m:oMath>
              <m:r>
                <m:rPr>
                  <m:sty m:val="p"/>
                </m:rPr>
                <m:t>+</m:t>
              </m:r>
              <m:r>
                <m:t>1.99</m:t>
              </m:r>
            </m:oMath>
            <w:r>
              <w:t xml:space="preserve">​</w:t>
            </w:r>
          </w:p>
        </w:tc>
      </w:tr>
      <w:tr>
        <w:tc>
          <w:tcPr>
            <w:vAlign w:val="center"/>
          </w:tcPr>
          <w:p>
            <w:pPr>
              <w:pStyle w:val="MDPI42tablebody"/>
              <w:suppressAutoHyphens/>
              <w:jc w:val="center"/>
            </w:pPr>
            <w:r>
              <w:t xml:space="preserve">0.03</w:t>
            </w:r>
          </w:p>
        </w:tc>
        <w:tc>
          <w:tcPr>
            <w:vAlign w:val="center"/>
          </w:tcPr>
          <w:p>
            <w:pPr>
              <w:pStyle w:val="MDPI42tablebody"/>
              <w:suppressAutoHyphens/>
              <w:jc w:val="center"/>
            </w:pPr>
            <w:r>
              <w:t xml:space="preserve">36.10</w:t>
            </w:r>
          </w:p>
        </w:tc>
        <w:tc>
          <w:tcPr>
            <w:vAlign w:val="center"/>
          </w:tcPr>
          <w:p>
            <w:pPr>
              <w:pStyle w:val="MDPI42tablebody"/>
              <w:suppressAutoHyphens/>
              <w:jc w:val="center"/>
            </w:pPr>
            <w:r>
              <w:t xml:space="preserve">0.95</w:t>
            </w:r>
          </w:p>
        </w:tc>
        <w:tc>
          <w:tcPr>
            <w:vAlign w:val="center"/>
          </w:tcPr>
          <w:p>
            <w:pPr>
              <w:pStyle w:val="MDPI42tablebody"/>
              <w:suppressAutoHyphens/>
              <w:jc w:val="center"/>
            </w:pPr>
            <m:oMath>
              <m:r>
                <m:t>6.41</m:t>
              </m:r>
              <m:r>
                <m:rPr>
                  <m:sty m:val="p"/>
                </m:rPr>
                <m:t>±</m:t>
              </m:r>
              <m:r>
                <m:t>1.82</m:t>
              </m:r>
            </m:oMath>
            <w:r>
              <w:t xml:space="preserve">​</w:t>
            </w:r>
          </w:p>
        </w:tc>
        <w:tc>
          <w:tcPr>
            <w:vAlign w:val="center"/>
          </w:tcPr>
          <w:p>
            <w:pPr>
              <w:pStyle w:val="MDPI42tablebody"/>
              <w:suppressAutoHyphens/>
              <w:jc w:val="center"/>
            </w:pPr>
            <m:oMath>
              <m:r>
                <m:t>4.98</m:t>
              </m:r>
              <m:r>
                <m:rPr>
                  <m:sty m:val="p"/>
                </m:rPr>
                <m:t>±</m:t>
              </m:r>
              <m:r>
                <m:t>1.76</m:t>
              </m:r>
            </m:oMath>
            <w:r>
              <w:t xml:space="preserve">​</w:t>
            </w:r>
          </w:p>
        </w:tc>
        <w:tc>
          <w:tcPr>
            <w:vAlign w:val="center"/>
          </w:tcPr>
          <w:p>
            <w:pPr>
              <w:pStyle w:val="MDPI42tablebody"/>
              <w:suppressAutoHyphens/>
              <w:jc w:val="center"/>
            </w:pPr>
            <m:oMath>
              <m:r>
                <m:rPr>
                  <m:sty m:val="p"/>
                </m:rPr>
                <m:t>+</m:t>
              </m:r>
              <m:r>
                <m:t>1.43</m:t>
              </m:r>
            </m:oMath>
            <w:r>
              <w:t xml:space="preserve">​</w:t>
            </w:r>
          </w:p>
        </w:tc>
      </w:tr>
      <w:tr>
        <w:tc>
          <w:tcPr>
            <w:vAlign w:val="center"/>
          </w:tcPr>
          <w:p>
            <w:pPr>
              <w:pStyle w:val="MDPI42tablebody"/>
              <w:suppressAutoHyphens/>
              <w:jc w:val="center"/>
            </w:pPr>
            <w:r>
              <w:t xml:space="preserve">0.04</w:t>
            </w:r>
          </w:p>
        </w:tc>
        <w:tc>
          <w:tcPr>
            <w:vAlign w:val="center"/>
          </w:tcPr>
          <w:p>
            <w:pPr>
              <w:pStyle w:val="MDPI42tablebody"/>
              <w:suppressAutoHyphens/>
              <w:jc w:val="center"/>
            </w:pPr>
            <w:r>
              <w:t xml:space="preserve">32.15</w:t>
            </w:r>
          </w:p>
        </w:tc>
        <w:tc>
          <w:tcPr>
            <w:vAlign w:val="center"/>
          </w:tcPr>
          <w:p>
            <w:pPr>
              <w:pStyle w:val="MDPI42tablebody"/>
              <w:suppressAutoHyphens/>
              <w:jc w:val="center"/>
            </w:pPr>
            <w:r>
              <w:t xml:space="preserve">0.35</w:t>
            </w:r>
          </w:p>
        </w:tc>
        <w:tc>
          <w:tcPr>
            <w:vAlign w:val="center"/>
          </w:tcPr>
          <w:p>
            <w:pPr>
              <w:pStyle w:val="MDPI42tablebody"/>
              <w:suppressAutoHyphens/>
              <w:jc w:val="center"/>
            </w:pPr>
            <m:oMath>
              <m:r>
                <m:t>4.30</m:t>
              </m:r>
              <m:r>
                <m:rPr>
                  <m:sty m:val="p"/>
                </m:rPr>
                <m:t>±</m:t>
              </m:r>
              <m:r>
                <m:t>3.51</m:t>
              </m:r>
            </m:oMath>
            <w:r>
              <w:t xml:space="preserve">​</w:t>
            </w:r>
          </w:p>
        </w:tc>
        <w:tc>
          <w:tcPr>
            <w:vAlign w:val="center"/>
          </w:tcPr>
          <w:p>
            <w:pPr>
              <w:pStyle w:val="MDPI42tablebody"/>
              <w:suppressAutoHyphens/>
              <w:jc w:val="center"/>
            </w:pPr>
            <m:oMath>
              <m:r>
                <m:t>2.76</m:t>
              </m:r>
              <m:r>
                <m:rPr>
                  <m:sty m:val="p"/>
                </m:rPr>
                <m:t>±</m:t>
              </m:r>
              <m:r>
                <m:t>3.84</m:t>
              </m:r>
            </m:oMath>
            <w:r>
              <w:t xml:space="preserve">​</w:t>
            </w:r>
          </w:p>
        </w:tc>
        <w:tc>
          <w:tcPr>
            <w:vAlign w:val="center"/>
          </w:tcPr>
          <w:p>
            <w:pPr>
              <w:pStyle w:val="MDPI42tablebody"/>
              <w:suppressAutoHyphens/>
              <w:jc w:val="center"/>
            </w:pPr>
            <m:oMath>
              <m:r>
                <m:rPr>
                  <m:sty m:val="p"/>
                </m:rPr>
                <m:t>+</m:t>
              </m:r>
              <m:r>
                <m:t>1.54</m:t>
              </m:r>
            </m:oMath>
            <w:r>
              <w:t xml:space="preserve">​</w:t>
            </w:r>
          </w:p>
        </w:tc>
      </w:tr>
      <w:tr>
        <w:tc>
          <w:tcPr>
            <w:vAlign w:val="center"/>
          </w:tcPr>
          <w:p>
            <w:pPr>
              <w:pStyle w:val="MDPI42tablebody"/>
              <w:suppressAutoHyphens/>
              <w:jc w:val="center"/>
            </w:pPr>
            <w:r>
              <w:t xml:space="preserve">0.05</w:t>
            </w:r>
          </w:p>
        </w:tc>
        <w:tc>
          <w:tcPr>
            <w:vAlign w:val="center"/>
          </w:tcPr>
          <w:p>
            <w:pPr>
              <w:pStyle w:val="MDPI42tablebody"/>
              <w:suppressAutoHyphens/>
              <w:jc w:val="center"/>
            </w:pPr>
            <w:r>
              <w:t xml:space="preserve">28.10</w:t>
            </w:r>
          </w:p>
        </w:tc>
        <w:tc>
          <w:tcPr>
            <w:vAlign w:val="center"/>
          </w:tcPr>
          <w:p>
            <w:pPr>
              <w:pStyle w:val="MDPI42tablebody"/>
              <w:suppressAutoHyphens/>
              <w:jc w:val="center"/>
            </w:pPr>
            <w:r>
              <w:t xml:space="preserve">0.10</w:t>
            </w:r>
          </w:p>
        </w:tc>
        <w:tc>
          <w:tcPr>
            <w:vAlign w:val="center"/>
          </w:tcPr>
          <w:p>
            <w:pPr>
              <w:pStyle w:val="MDPI42tablebody"/>
              <w:suppressAutoHyphens/>
              <w:jc w:val="center"/>
            </w:pPr>
            <m:oMath>
              <m:r>
                <m:t>4.04</m:t>
              </m:r>
              <m:r>
                <m:rPr>
                  <m:sty m:val="p"/>
                </m:rPr>
                <m:t>±</m:t>
              </m:r>
              <m:r>
                <m:t>4.14</m:t>
              </m:r>
            </m:oMath>
            <w:r>
              <w:t xml:space="preserve">​</w:t>
            </w:r>
          </w:p>
        </w:tc>
        <w:tc>
          <w:tcPr>
            <w:vAlign w:val="center"/>
          </w:tcPr>
          <w:p>
            <w:pPr>
              <w:pStyle w:val="MDPI42tablebody"/>
              <w:suppressAutoHyphens/>
              <w:jc w:val="center"/>
            </w:pPr>
            <m:oMath>
              <m:r>
                <m:t>1.59</m:t>
              </m:r>
              <m:r>
                <m:rPr>
                  <m:sty m:val="p"/>
                </m:rPr>
                <m:t>±</m:t>
              </m:r>
              <m:r>
                <m:t>5.59</m:t>
              </m:r>
            </m:oMath>
            <w:r>
              <w:t xml:space="preserve">​</w:t>
            </w:r>
          </w:p>
        </w:tc>
        <w:tc>
          <w:tcPr>
            <w:vAlign w:val="center"/>
          </w:tcPr>
          <w:p>
            <w:pPr>
              <w:pStyle w:val="MDPI42tablebody"/>
              <w:suppressAutoHyphens/>
              <w:jc w:val="center"/>
            </w:pPr>
            <m:oMath>
              <m:r>
                <m:rPr>
                  <m:sty m:val="p"/>
                </m:rPr>
                <m:t>+</m:t>
              </m:r>
              <m:r>
                <m:t>2.45</m:t>
              </m:r>
            </m:oMath>
            <w:r>
              <w:t xml:space="preserve">​</w:t>
            </w:r>
          </w:p>
        </w:tc>
      </w:tr>
      <w:tr>
        <w:tc>
          <w:tcPr>
            <w:vAlign w:val="center"/>
          </w:tcPr>
          <w:p>
            <w:pPr>
              <w:pStyle w:val="MDPI42tablebody"/>
              <w:suppressAutoHyphens/>
              <w:jc w:val="center"/>
            </w:pPr>
            <w:r>
              <w:t xml:space="preserve">0.06</w:t>
            </w:r>
          </w:p>
        </w:tc>
        <w:tc>
          <w:tcPr>
            <w:vAlign w:val="center"/>
          </w:tcPr>
          <w:p>
            <w:pPr>
              <w:pStyle w:val="MDPI42tablebody"/>
              <w:suppressAutoHyphens/>
              <w:jc w:val="center"/>
            </w:pPr>
            <w:r>
              <w:t xml:space="preserve">25.45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3.59</m:t>
              </m:r>
              <m:r>
                <m:rPr>
                  <m:sty m:val="p"/>
                </m:rPr>
                <m:t>±</m:t>
              </m:r>
              <m:r>
                <m:t>2.96</m:t>
              </m:r>
            </m:oMath>
            <w:r>
              <w:t xml:space="preserve">​</w:t>
            </w:r>
          </w:p>
        </w:tc>
        <w:tc>
          <w:tcPr>
            <w:vAlign w:val="center"/>
          </w:tcPr>
          <w:p>
            <w:pPr>
              <w:pStyle w:val="MDPI42tablebody"/>
              <w:suppressAutoHyphens/>
              <w:jc w:val="center"/>
            </w:pPr>
            <m:oMath>
              <m:r>
                <m:t>2.58</m:t>
              </m:r>
              <m:r>
                <m:rPr>
                  <m:sty m:val="p"/>
                </m:rPr>
                <m:t>±</m:t>
              </m:r>
              <m:r>
                <m:t>4.63</m:t>
              </m:r>
            </m:oMath>
            <w:r>
              <w:t xml:space="preserve">​</w:t>
            </w:r>
          </w:p>
        </w:tc>
        <w:tc>
          <w:tcPr>
            <w:vAlign w:val="center"/>
          </w:tcPr>
          <w:p>
            <w:pPr>
              <w:pStyle w:val="MDPI42tablebody"/>
              <w:suppressAutoHyphens/>
              <w:jc w:val="center"/>
            </w:pPr>
            <m:oMath>
              <m:r>
                <m:rPr>
                  <m:sty m:val="p"/>
                </m:rPr>
                <m:t>+</m:t>
              </m:r>
              <m:r>
                <m:t>1.01</m:t>
              </m:r>
            </m:oMath>
            <w:r>
              <w:t xml:space="preserve">​</w:t>
            </w:r>
          </w:p>
        </w:tc>
      </w:tr>
      <w:tr>
        <w:tc>
          <w:tcPr>
            <w:vAlign w:val="center"/>
          </w:tcPr>
          <w:p>
            <w:pPr>
              <w:pStyle w:val="MDPI42tablebody"/>
              <w:suppressAutoHyphens/>
              <w:jc w:val="center"/>
            </w:pPr>
            <w:r>
              <w:t xml:space="preserve">0.07</w:t>
            </w:r>
          </w:p>
        </w:tc>
        <w:tc>
          <w:tcPr>
            <w:vAlign w:val="center"/>
          </w:tcPr>
          <w:p>
            <w:pPr>
              <w:pStyle w:val="MDPI42tablebody"/>
              <w:suppressAutoHyphens/>
              <w:jc w:val="center"/>
            </w:pPr>
            <w:r>
              <w:t xml:space="preserve">23.05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4.01</m:t>
              </m:r>
              <m:r>
                <m:rPr>
                  <m:sty m:val="p"/>
                </m:rPr>
                <m:t>±</m:t>
              </m:r>
              <m:r>
                <m:t>2.37</m:t>
              </m:r>
            </m:oMath>
            <w:r>
              <w:t xml:space="preserve">​</w:t>
            </w:r>
          </w:p>
        </w:tc>
        <w:tc>
          <w:tcPr>
            <w:vAlign w:val="center"/>
          </w:tcPr>
          <w:p>
            <w:pPr>
              <w:pStyle w:val="MDPI42tablebody"/>
              <w:suppressAutoHyphens/>
              <w:jc w:val="center"/>
            </w:pPr>
            <m:oMath>
              <m:r>
                <m:t>3.67</m:t>
              </m:r>
              <m:r>
                <m:rPr>
                  <m:sty m:val="p"/>
                </m:rPr>
                <m:t>±</m:t>
              </m:r>
              <m:r>
                <m:t>2.62</m:t>
              </m:r>
            </m:oMath>
            <w:r>
              <w:t xml:space="preserve">​</w:t>
            </w:r>
          </w:p>
        </w:tc>
        <w:tc>
          <w:tcPr>
            <w:vAlign w:val="center"/>
          </w:tcPr>
          <w:p>
            <w:pPr>
              <w:pStyle w:val="MDPI42tablebody"/>
              <w:suppressAutoHyphens/>
              <w:jc w:val="center"/>
            </w:pPr>
            <m:oMath>
              <m:r>
                <m:rPr>
                  <m:sty m:val="p"/>
                </m:rPr>
                <m:t>+</m:t>
              </m:r>
              <m:r>
                <m:t>0.34</m:t>
              </m:r>
            </m:oMath>
            <w:r>
              <w:t xml:space="preserve">​</w:t>
            </w:r>
          </w:p>
        </w:tc>
      </w:tr>
      <w:tr>
        <w:tc>
          <w:tcPr>
            <w:vAlign w:val="center"/>
          </w:tcPr>
          <w:p>
            <w:pPr>
              <w:pStyle w:val="MDPI42tablebody"/>
              <w:suppressAutoHyphens/>
              <w:jc w:val="center"/>
            </w:pPr>
            <w:r>
              <w:t xml:space="preserve">0.08</w:t>
            </w:r>
          </w:p>
        </w:tc>
        <w:tc>
          <w:tcPr>
            <w:vAlign w:val="center"/>
          </w:tcPr>
          <w:p>
            <w:pPr>
              <w:pStyle w:val="MDPI42tablebody"/>
              <w:suppressAutoHyphens/>
              <w:jc w:val="center"/>
            </w:pPr>
            <w:r>
              <w:t xml:space="preserve">21.30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3.04</m:t>
              </m:r>
              <m:r>
                <m:rPr>
                  <m:sty m:val="p"/>
                </m:rPr>
                <m:t>±</m:t>
              </m:r>
              <m:r>
                <m:t>1.09</m:t>
              </m:r>
            </m:oMath>
            <w:r>
              <w:t xml:space="preserve">​</w:t>
            </w:r>
          </w:p>
        </w:tc>
        <w:tc>
          <w:tcPr>
            <w:vAlign w:val="center"/>
          </w:tcPr>
          <w:p>
            <w:pPr>
              <w:pStyle w:val="MDPI42tablebody"/>
              <w:suppressAutoHyphens/>
              <w:jc w:val="center"/>
            </w:pPr>
            <m:oMath>
              <m:r>
                <m:t>2.49</m:t>
              </m:r>
              <m:r>
                <m:rPr>
                  <m:sty m:val="p"/>
                </m:rPr>
                <m:t>±</m:t>
              </m:r>
              <m:r>
                <m:t>1.23</m:t>
              </m:r>
            </m:oMath>
            <w:r>
              <w:t xml:space="preserve">​</w:t>
            </w:r>
          </w:p>
        </w:tc>
        <w:tc>
          <w:tcPr>
            <w:vAlign w:val="center"/>
          </w:tcPr>
          <w:p>
            <w:pPr>
              <w:pStyle w:val="MDPI42tablebody"/>
              <w:suppressAutoHyphens/>
              <w:jc w:val="center"/>
            </w:pPr>
            <m:oMath>
              <m:r>
                <m:rPr>
                  <m:sty m:val="p"/>
                </m:rPr>
                <m:t>+</m:t>
              </m:r>
              <m:r>
                <m:t>0.55</m:t>
              </m:r>
            </m:oMath>
            <w:r>
              <w:t xml:space="preserve">​</w:t>
            </w:r>
          </w:p>
        </w:tc>
      </w:tr>
      <w:tr>
        <w:tc>
          <w:tcPr>
            <w:vAlign w:val="center"/>
          </w:tcPr>
          <w:p>
            <w:pPr>
              <w:pStyle w:val="MDPI42tablebody"/>
              <w:suppressAutoHyphens/>
              <w:jc w:val="center"/>
            </w:pPr>
            <w:r>
              <w:t xml:space="preserve">0.10</w:t>
            </w:r>
          </w:p>
        </w:tc>
        <w:tc>
          <w:tcPr>
            <w:vAlign w:val="center"/>
          </w:tcPr>
          <w:p>
            <w:pPr>
              <w:pStyle w:val="MDPI42tablebody"/>
              <w:suppressAutoHyphens/>
              <w:jc w:val="center"/>
            </w:pPr>
            <w:r>
              <w:t xml:space="preserve">19.50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3.11</m:t>
              </m:r>
              <m:r>
                <m:rPr>
                  <m:sty m:val="p"/>
                </m:rPr>
                <m:t>±</m:t>
              </m:r>
              <m:r>
                <m:t>0.36</m:t>
              </m:r>
            </m:oMath>
            <w:r>
              <w:t xml:space="preserve">​</w:t>
            </w:r>
          </w:p>
        </w:tc>
        <w:tc>
          <w:tcPr>
            <w:vAlign w:val="center"/>
          </w:tcPr>
          <w:p>
            <w:pPr>
              <w:pStyle w:val="MDPI42tablebody"/>
              <w:suppressAutoHyphens/>
              <w:jc w:val="center"/>
            </w:pPr>
            <m:oMath>
              <m:r>
                <m:t>2.50</m:t>
              </m:r>
              <m:r>
                <m:rPr>
                  <m:sty m:val="p"/>
                </m:rPr>
                <m:t>±</m:t>
              </m:r>
              <m:r>
                <m:t>0.34</m:t>
              </m:r>
            </m:oMath>
            <w:r>
              <w:t xml:space="preserve">​</w:t>
            </w:r>
          </w:p>
        </w:tc>
        <w:tc>
          <w:tcPr>
            <w:vAlign w:val="center"/>
          </w:tcPr>
          <w:p>
            <w:pPr>
              <w:pStyle w:val="MDPI42tablebody"/>
              <w:suppressAutoHyphens/>
              <w:jc w:val="center"/>
            </w:pPr>
            <m:oMath>
              <m:r>
                <m:rPr>
                  <m:sty m:val="p"/>
                </m:rPr>
                <m:t>+</m:t>
              </m:r>
              <m:r>
                <m:t>0.61</m:t>
              </m:r>
            </m:oMath>
            <w:r>
              <w:t xml:space="preserve">​</w:t>
            </w:r>
          </w:p>
        </w:tc>
      </w:tr>
      <w:tr>
        <w:tc>
          <w:tcPr>
            <w:vAlign w:val="center"/>
          </w:tcPr>
          <w:p>
            <w:pPr>
              <w:pStyle w:val="MDPI42tablebody"/>
              <w:suppressAutoHyphens/>
              <w:jc w:val="center"/>
            </w:pPr>
            <w:r>
              <w:t xml:space="preserve">0.15</w:t>
            </w:r>
          </w:p>
        </w:tc>
        <w:tc>
          <w:tcPr>
            <w:vAlign w:val="center"/>
          </w:tcPr>
          <w:p>
            <w:pPr>
              <w:pStyle w:val="MDPI42tablebody"/>
              <w:suppressAutoHyphens/>
              <w:jc w:val="center"/>
            </w:pPr>
            <w:r>
              <w:t xml:space="preserve">14.40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4.61</m:t>
              </m:r>
              <m:r>
                <m:rPr>
                  <m:sty m:val="p"/>
                </m:rPr>
                <m:t>±</m:t>
              </m:r>
              <m:r>
                <m:t>0.93</m:t>
              </m:r>
            </m:oMath>
            <w:r>
              <w:t xml:space="preserve">​</w:t>
            </w:r>
          </w:p>
        </w:tc>
        <w:tc>
          <w:tcPr>
            <w:vAlign w:val="center"/>
          </w:tcPr>
          <w:p>
            <w:pPr>
              <w:pStyle w:val="MDPI42tablebody"/>
              <w:suppressAutoHyphens/>
              <w:jc w:val="center"/>
            </w:pPr>
            <m:oMath>
              <m:r>
                <m:t>4.05</m:t>
              </m:r>
              <m:r>
                <m:rPr>
                  <m:sty m:val="p"/>
                </m:rPr>
                <m:t>±</m:t>
              </m:r>
              <m:r>
                <m:t>0.99</m:t>
              </m:r>
            </m:oMath>
            <w:r>
              <w:t xml:space="preserve">​</w:t>
            </w:r>
          </w:p>
        </w:tc>
        <w:tc>
          <w:tcPr>
            <w:vAlign w:val="center"/>
          </w:tcPr>
          <w:p>
            <w:pPr>
              <w:pStyle w:val="MDPI42tablebody"/>
              <w:suppressAutoHyphens/>
              <w:jc w:val="center"/>
            </w:pPr>
            <m:oMath>
              <m:r>
                <m:rPr>
                  <m:sty m:val="p"/>
                </m:rPr>
                <m:t>+</m:t>
              </m:r>
              <m:r>
                <m:t>0.56</m:t>
              </m:r>
            </m:oMath>
            <w:r>
              <w:t xml:space="preserve">​</w:t>
            </w:r>
          </w:p>
        </w:tc>
      </w:tr>
      <w:tr>
        <w:tc>
          <w:tcPr>
            <w:vAlign w:val="center"/>
          </w:tcPr>
          <w:p>
            <w:pPr>
              <w:pStyle w:val="MDPI42tablebody"/>
              <w:suppressAutoHyphens/>
              <w:jc w:val="center"/>
            </w:pPr>
            <w:r>
              <w:t xml:space="preserve">0.20</w:t>
            </w:r>
          </w:p>
        </w:tc>
        <w:tc>
          <w:tcPr>
            <w:vAlign w:val="center"/>
          </w:tcPr>
          <w:p>
            <w:pPr>
              <w:pStyle w:val="MDPI42tablebody"/>
              <w:suppressAutoHyphens/>
              <w:jc w:val="center"/>
            </w:pPr>
            <w:r>
              <w:t xml:space="preserve">12.15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2.43</m:t>
              </m:r>
              <m:r>
                <m:rPr>
                  <m:sty m:val="p"/>
                </m:rPr>
                <m:t>±</m:t>
              </m:r>
              <m:r>
                <m:t>2.49</m:t>
              </m:r>
            </m:oMath>
            <w:r>
              <w:t xml:space="preserve">​</w:t>
            </w:r>
          </w:p>
        </w:tc>
        <w:tc>
          <w:tcPr>
            <w:vAlign w:val="center"/>
          </w:tcPr>
          <w:p>
            <w:pPr>
              <w:pStyle w:val="MDPI42tablebody"/>
              <w:suppressAutoHyphens/>
              <w:jc w:val="center"/>
            </w:pPr>
            <m:oMath>
              <m:r>
                <m:t>1.34</m:t>
              </m:r>
              <m:r>
                <m:rPr>
                  <m:sty m:val="p"/>
                </m:rPr>
                <m:t>±</m:t>
              </m:r>
              <m:r>
                <m:t>3.05</m:t>
              </m:r>
            </m:oMath>
            <w:r>
              <w:t xml:space="preserve">​</w:t>
            </w:r>
          </w:p>
        </w:tc>
        <w:tc>
          <w:tcPr>
            <w:vAlign w:val="center"/>
          </w:tcPr>
          <w:p>
            <w:pPr>
              <w:pStyle w:val="MDPI42tablebody"/>
              <w:suppressAutoHyphens/>
              <w:jc w:val="center"/>
            </w:pPr>
            <m:oMath>
              <m:r>
                <m:rPr>
                  <m:sty m:val="p"/>
                </m:rPr>
                <m:t>+</m:t>
              </m:r>
              <m:r>
                <m:t>1.09</m:t>
              </m:r>
            </m:oMath>
            <w:r>
              <w:t xml:space="preserve">​</w:t>
            </w:r>
          </w:p>
        </w:tc>
      </w:tr>
    </w:tbl>
    <w:bookmarkEnd w:id="57"/>
    <w:p/>
    <w:bookmarkStart w:id="58" w:name="tab:twobytwo"/>
    <w:p>
      <w:pPr>
        <w:pStyle w:val="MDPI41tablecaption"/>
      </w:pPr>
      <w:r>
        <w:rPr>
          <w:b/>
        </w:rPr>
        <w:t xml:space="preserve">Table 11. </w:t>
      </w: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(default objective), the priced pool and</w:t>
      </w:r>
      <w:r>
        <w:t xml:space="preserve"> </w:t>
      </w:r>
      <w:r>
        <w:rPr>
          <w:rStyle w:val="VerbatimChar"/>
        </w:rPr>
        <w:t xml:space="preserve">phys_lib/</w:t>
      </w:r>
      <w:r>
        <w:t xml:space="preserve">.</w:t>
      </w:r>
    </w:p>
    <w:tbl>
      <w:tblPr>
        <w:tblStyle w:val="MDPI41threelinetable"/>
        <w:tblW w:type="auto" w:w="0"/>
        <w:tblLook w:firstRow="0" w:lastRow="0" w:firstColumn="0" w:lastColumn="0" w:noHBand="0" w:noVBand="0" w:val="0000"/>
        <w:tblCaption w:val="Mean EPI (EUR m^{-2}) by feature library and boiler-term survival, pooled over the nine SINDy-MPC controllers and four test seasons; run counts in parentheses. The physics library was run under the priced objective only. Sources: final/main.csv, n7/main_n7.csv (default objective), the priced pool and phys_lib/."/>
      </w:tblPr>
      <w:tblGrid>
        <w:gridCol w:w="1320"/>
        <w:gridCol w:w="1320"/>
        <w:gridCol w:w="1320"/>
        <w:gridCol w:w="1320"/>
        <w:gridCol w:w="1320"/>
        <w:gridCol w:w="1320"/>
      </w:tblGrid>
      <w:tr>
        <w:trPr>
          <w:tblHeader/>
        </w:trPr>
        <w:tc>
          <w:tcPr>
            <w:vAlign w:val="center"/>
          </w:tcPr>
          <w:p>
            <w:pPr>
              <w:pStyle w:val="MDPI42tablebody"/>
              <w:suppressAutoHyphens/>
              <w:jc w:val="center"/>
            </w:pPr>
          </w:p>
        </w:tc>
        <w:tc>
          <w:tcPr>
            <w:gridSpan w:val="2"/>
            <w:vAlign w:val="center"/>
          </w:tcPr>
          <w:p>
            <w:pPr>
              <w:pStyle w:val="MDPI42tablebody"/>
              <w:suppressAutoHyphens/>
              <w:jc w:val="center"/>
            </w:pPr>
            <w:r>
              <w:t xml:space="preserve">Default objective</w:t>
            </w:r>
          </w:p>
        </w:tc>
        <w:tc>
          <w:tcPr>
            <w:gridSpan w:val="2"/>
            <w:vAlign w:val="center"/>
          </w:tcPr>
          <w:p>
            <w:pPr>
              <w:pStyle w:val="MDPI42tablebody"/>
              <w:suppressAutoHyphens/>
              <w:jc w:val="center"/>
            </w:pPr>
            <w:r>
              <w:t xml:space="preserve">Priced objective</w:t>
            </w:r>
          </w:p>
        </w:tc>
        <w:tc>
          <w:tcPr>
            <w:vAlign w:val="center"/>
          </w:tcPr>
          <w:p>
            <w:pPr>
              <w:pStyle w:val="MDPI42tablebody"/>
              <w:suppressAutoHyphens/>
              <w:jc w:val="center"/>
            </w:pPr>
            <w:r>
              <w:t xml:space="preserve">Boiler</w:t>
            </w:r>
          </w:p>
        </w:tc>
      </w:tr>
      <w:tr>
        <w:tc>
          <w:tcPr>
            <w:vAlign w:val="center"/>
          </w:tcPr>
          <w:p>
            <w:pPr>
              <w:pStyle w:val="MDPI42tablebody"/>
              <w:suppressAutoHyphens/>
              <w:jc w:val="center"/>
            </w:pPr>
            <w:r>
              <w:t xml:space="preserve">Library</w:t>
            </w:r>
          </w:p>
        </w:tc>
        <w:tc>
          <w:tcPr>
            <w:vAlign w:val="center"/>
          </w:tcPr>
          <w:p>
            <w:pPr>
              <w:pStyle w:val="MDPI42tablebody"/>
              <w:suppressAutoHyphens/>
              <w:jc w:val="center"/>
            </w:pPr>
            <w:r>
              <w:t xml:space="preserve">dropped</w:t>
            </w:r>
          </w:p>
        </w:tc>
        <w:tc>
          <w:tcPr>
            <w:vAlign w:val="center"/>
          </w:tcPr>
          <w:p>
            <w:pPr>
              <w:pStyle w:val="MDPI42tablebody"/>
              <w:suppressAutoHyphens/>
              <w:jc w:val="center"/>
            </w:pPr>
            <w:r>
              <w:t xml:space="preserve">kept</w:t>
            </w:r>
          </w:p>
        </w:tc>
        <w:tc>
          <w:tcPr>
            <w:vAlign w:val="center"/>
          </w:tcPr>
          <w:p>
            <w:pPr>
              <w:pStyle w:val="MDPI42tablebody"/>
              <w:suppressAutoHyphens/>
              <w:jc w:val="center"/>
            </w:pPr>
            <w:r>
              <w:t xml:space="preserve">dropped</w:t>
            </w:r>
          </w:p>
        </w:tc>
        <w:tc>
          <w:tcPr>
            <w:vAlign w:val="center"/>
          </w:tcPr>
          <w:p>
            <w:pPr>
              <w:pStyle w:val="MDPI42tablebody"/>
              <w:suppressAutoHyphens/>
              <w:jc w:val="center"/>
            </w:pPr>
            <w:r>
              <w:t xml:space="preserve">kept</w:t>
            </w:r>
          </w:p>
        </w:tc>
        <w:tc>
          <w:tcPr>
            <w:vAlign w:val="center"/>
          </w:tcPr>
          <w:p>
            <w:pPr>
              <w:pStyle w:val="MDPI42tablebody"/>
              <w:suppressAutoHyphens/>
              <w:jc w:val="center"/>
            </w:pPr>
            <w:r>
              <w:t xml:space="preserve">effect (priced)</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m:oMath>
              <m:r>
                <m:rPr>
                  <m:sty m:val="p"/>
                </m:rPr>
                <m:t>+</m:t>
              </m:r>
              <m:r>
                <m:t>3.20</m:t>
              </m:r>
            </m:oMath>
            <w:r>
              <w:t xml:space="preserve"> </w:t>
            </w:r>
            <w:r>
              <w:t xml:space="preserve">(76)</w:t>
            </w:r>
          </w:p>
        </w:tc>
        <w:tc>
          <w:tcPr>
            <w:vAlign w:val="center"/>
          </w:tcPr>
          <w:p>
            <w:pPr>
              <w:pStyle w:val="MDPI42tablebody"/>
              <w:suppressAutoHyphens/>
              <w:jc w:val="center"/>
            </w:pPr>
            <m:oMath>
              <m:r>
                <m:rPr>
                  <m:sty m:val="p"/>
                </m:rPr>
                <m:t>+</m:t>
              </m:r>
              <m:r>
                <m:t>4.43</m:t>
              </m:r>
            </m:oMath>
            <w:r>
              <w:t xml:space="preserve"> </w:t>
            </w:r>
            <w:r>
              <w:t xml:space="preserve">(84)</w:t>
            </w:r>
          </w:p>
        </w:tc>
        <w:tc>
          <w:tcPr>
            <w:vAlign w:val="center"/>
          </w:tcPr>
          <w:p>
            <w:pPr>
              <w:pStyle w:val="MDPI42tablebody"/>
              <w:suppressAutoHyphens/>
              <w:jc w:val="center"/>
            </w:pPr>
            <m:oMath>
              <m:r>
                <m:rPr>
                  <m:sty m:val="p"/>
                </m:rPr>
                <m:t>+</m:t>
              </m:r>
              <m:r>
                <m:t>3.48</m:t>
              </m:r>
            </m:oMath>
            <w:r>
              <w:t xml:space="preserve"> </w:t>
            </w:r>
            <w:r>
              <w:t xml:space="preserve">(76)</w:t>
            </w:r>
          </w:p>
        </w:tc>
        <w:tc>
          <w:tcPr>
            <w:vAlign w:val="center"/>
          </w:tcPr>
          <w:p>
            <w:pPr>
              <w:pStyle w:val="MDPI42tablebody"/>
              <w:suppressAutoHyphens/>
              <w:jc w:val="center"/>
            </w:pPr>
            <m:oMath>
              <m:r>
                <m:rPr>
                  <m:sty m:val="b"/>
                </m:rPr>
                <m:t>+</m:t>
              </m:r>
              <m:r>
                <m:rPr>
                  <m:sty m:val="b"/>
                </m:rPr>
                <m:t>4.61</m:t>
              </m:r>
            </m:oMath>
            <w:r>
              <w:t xml:space="preserve"> </w:t>
            </w:r>
            <w:r>
              <w:t xml:space="preserve">(84)</w:t>
            </w:r>
          </w:p>
        </w:tc>
        <w:tc>
          <w:tcPr>
            <w:vAlign w:val="center"/>
          </w:tcPr>
          <w:p>
            <w:pPr>
              <w:pStyle w:val="MDPI42tablebody"/>
              <w:suppressAutoHyphens/>
              <w:jc w:val="center"/>
            </w:pPr>
            <m:oMath>
              <m:r>
                <m:rPr>
                  <m:sty m:val="p"/>
                </m:rPr>
                <m:t>+</m:t>
              </m:r>
              <m:r>
                <m:t>1.13</m:t>
              </m:r>
            </m:oMath>
            <w:r>
              <w:t xml:space="preserve"> </w:t>
            </w:r>
            <w:r>
              <w:t xml:space="preserve">(n.s.)</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m:oMath>
              <m:r>
                <m:rPr>
                  <m:sty m:val="p"/>
                </m:rPr>
                <m:t>−</m:t>
              </m:r>
              <m:r>
                <m:t>1.42</m:t>
              </m:r>
            </m:oMath>
            <w:r>
              <w:t xml:space="preserve"> </w:t>
            </w:r>
            <w:r>
              <w:t xml:space="preserve">(88)</w:t>
            </w:r>
          </w:p>
        </w:tc>
        <w:tc>
          <w:tcPr>
            <w:vAlign w:val="center"/>
          </w:tcPr>
          <w:p>
            <w:pPr>
              <w:pStyle w:val="MDPI42tablebody"/>
              <w:suppressAutoHyphens/>
              <w:jc w:val="center"/>
            </w:pPr>
            <m:oMath>
              <m:r>
                <m:rPr>
                  <m:sty m:val="p"/>
                </m:rPr>
                <m:t>+</m:t>
              </m:r>
              <m:r>
                <m:t>0.15</m:t>
              </m:r>
            </m:oMath>
            <w:r>
              <w:t xml:space="preserve"> </w:t>
            </w:r>
            <w:r>
              <w:t xml:space="preserve">(312)</w:t>
            </w:r>
          </w:p>
        </w:tc>
        <w:tc>
          <w:tcPr>
            <w:vAlign w:val="center"/>
          </w:tcPr>
          <w:p>
            <w:pPr>
              <w:pStyle w:val="MDPI42tablebody"/>
              <w:suppressAutoHyphens/>
              <w:jc w:val="center"/>
            </w:pPr>
            <m:oMath>
              <m:r>
                <m:rPr>
                  <m:sty m:val="p"/>
                </m:rPr>
                <m:t>+</m:t>
              </m:r>
              <m:r>
                <m:t>0.02</m:t>
              </m:r>
            </m:oMath>
            <w:r>
              <w:t xml:space="preserve"> </w:t>
            </w:r>
            <w:r>
              <w:t xml:space="preserve">(80)</w:t>
            </w:r>
          </w:p>
        </w:tc>
        <w:tc>
          <w:tcPr>
            <w:vAlign w:val="center"/>
          </w:tcPr>
          <w:p>
            <w:pPr>
              <w:pStyle w:val="MDPI42tablebody"/>
              <w:suppressAutoHyphens/>
              <w:jc w:val="center"/>
            </w:pPr>
            <m:oMath>
              <m:r>
                <m:rPr>
                  <m:sty m:val="p"/>
                </m:rPr>
                <m:t>+</m:t>
              </m:r>
              <m:r>
                <m:t>2.36</m:t>
              </m:r>
            </m:oMath>
            <w:r>
              <w:t xml:space="preserve"> </w:t>
            </w:r>
            <w:r>
              <w:t xml:space="preserve">(320)</w:t>
            </w:r>
          </w:p>
        </w:tc>
        <w:tc>
          <w:tcPr>
            <w:vAlign w:val="center"/>
          </w:tcPr>
          <w:p>
            <w:pPr>
              <w:pStyle w:val="MDPI42tablebody"/>
              <w:suppressAutoHyphens/>
              <w:jc w:val="center"/>
            </w:pPr>
            <m:oMath>
              <m:r>
                <m:rPr>
                  <m:sty m:val="b"/>
                </m:rPr>
                <m:t>+</m:t>
              </m:r>
              <m:r>
                <m:rPr>
                  <m:sty m:val="b"/>
                </m:rPr>
                <m:t>2.34</m:t>
              </m:r>
            </m:oMath>
            <w:r>
              <w:t xml:space="preserve">​</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2.74</m:t>
              </m:r>
            </m:oMath>
            <w:r>
              <w:t xml:space="preserve"> </w:t>
            </w:r>
            <w:r>
              <w:t xml:space="preserve">(72)</w:t>
            </w:r>
          </w:p>
        </w:tc>
        <w:tc>
          <w:tcPr>
            <w:vAlign w:val="center"/>
          </w:tcPr>
          <w:p>
            <w:pPr>
              <w:pStyle w:val="MDPI42tablebody"/>
              <w:suppressAutoHyphens/>
              <w:jc w:val="center"/>
            </w:pPr>
            <m:oMath>
              <m:r>
                <m:rPr>
                  <m:sty m:val="p"/>
                </m:rPr>
                <m:t>+</m:t>
              </m:r>
              <m:r>
                <m:t>2.52</m:t>
              </m:r>
            </m:oMath>
            <w:r>
              <w:t xml:space="preserve"> </w:t>
            </w:r>
            <w:r>
              <w:t xml:space="preserve">(88)</w:t>
            </w:r>
          </w:p>
        </w:tc>
        <w:tc>
          <w:tcPr>
            <w:vAlign w:val="center"/>
          </w:tcPr>
          <w:p>
            <w:pPr>
              <w:pStyle w:val="MDPI42tablebody"/>
              <w:suppressAutoHyphens/>
              <w:jc w:val="center"/>
            </w:pPr>
            <m:oMath>
              <m:r>
                <m:rPr>
                  <m:sty m:val="p"/>
                </m:rPr>
                <m:t>−</m:t>
              </m:r>
              <m:r>
                <m:t>0.22</m:t>
              </m:r>
            </m:oMath>
            <w:r>
              <w:t xml:space="preserve"> </w:t>
            </w:r>
            <w:r>
              <w:t xml:space="preserve">(n.s.)</w:t>
            </w:r>
          </w:p>
        </w:tc>
      </w:tr>
      <w:tr>
        <w:tc>
          <w:tcPr>
            <w:vAlign w:val="center"/>
          </w:tcPr>
          <w:p>
            <w:pPr>
              <w:pStyle w:val="MDPI42tablebody"/>
              <w:suppressAutoHyphens/>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vAlign w:val="center"/>
          </w:tcPr>
          <w:p>
            <w:pPr>
              <w:pStyle w:val="MDPI42tablebody"/>
              <w:suppressAutoHyphens/>
              <w:jc w:val="center"/>
            </w:pPr>
            <m:oMath>
              <m:r>
                <m:rPr>
                  <m:sty m:val="p"/>
                </m:rPr>
                <m:t>+</m:t>
              </m:r>
              <m:r>
                <m:t>4.62</m:t>
              </m:r>
            </m:oMath>
            <w:r>
              <w:t xml:space="preserve">​</w:t>
            </w:r>
          </w:p>
        </w:tc>
        <w:tc>
          <w:tcPr>
            <w:vAlign w:val="center"/>
          </w:tcPr>
          <w:p>
            <w:pPr>
              <w:pStyle w:val="MDPI42tablebody"/>
              <w:suppressAutoHyphens/>
              <w:jc w:val="center"/>
            </w:pPr>
            <m:oMath>
              <m:r>
                <m:rPr>
                  <m:sty m:val="p"/>
                </m:rPr>
                <m:t>+</m:t>
              </m:r>
              <m:r>
                <m:t>4.28</m:t>
              </m:r>
            </m:oMath>
            <w:r>
              <w:t xml:space="preserve">​</w:t>
            </w:r>
          </w:p>
        </w:tc>
        <w:tc>
          <w:tcPr>
            <w:vAlign w:val="center"/>
          </w:tcPr>
          <w:p>
            <w:pPr>
              <w:pStyle w:val="MDPI42tablebody"/>
              <w:suppressAutoHyphens/>
              <w:jc w:val="center"/>
            </w:pPr>
            <m:oMath>
              <m:r>
                <m:rPr>
                  <m:sty m:val="p"/>
                </m:rPr>
                <m:t>+</m:t>
              </m:r>
              <m:r>
                <m:t>3.46</m:t>
              </m:r>
            </m:oMath>
            <w:r>
              <w:t xml:space="preserve">​</w:t>
            </w:r>
          </w:p>
        </w:tc>
        <w:tc>
          <w:tcPr>
            <w:vAlign w:val="center"/>
          </w:tcPr>
          <w:p>
            <w:pPr>
              <w:pStyle w:val="MDPI42tablebody"/>
              <w:suppressAutoHyphens/>
              <w:jc w:val="center"/>
            </w:pPr>
            <m:oMath>
              <m:r>
                <m:rPr>
                  <m:sty m:val="p"/>
                </m:rPr>
                <m:t>+</m:t>
              </m:r>
              <m:r>
                <m:t>2.25</m:t>
              </m:r>
            </m:oMath>
            <w:r>
              <w:t xml:space="preserve">​</w:t>
            </w:r>
          </w:p>
        </w:tc>
        <w:tc>
          <w:tcPr>
            <w:vAlign w:val="center"/>
          </w:tcPr>
          <w:p>
            <w:pPr>
              <w:pStyle w:val="MDPI42tablebody"/>
              <w:suppressAutoHyphens/>
              <w:jc w:val="center"/>
            </w:pPr>
          </w:p>
        </w:tc>
      </w:tr>
      <w:tr>
        <w:tc>
          <w:tcPr>
            <w:vAlign w:val="center"/>
          </w:tcPr>
          <w:p>
            <w:pPr>
              <w:pStyle w:val="MDPI42tablebody"/>
              <w:suppressAutoHyphens/>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0.75</m:t>
              </m:r>
            </m:oMath>
            <w:r>
              <w:t xml:space="preserve">​</w:t>
            </w:r>
          </w:p>
        </w:tc>
        <w:tc>
          <w:tcPr>
            <w:vAlign w:val="center"/>
          </w:tcPr>
          <w:p>
            <w:pPr>
              <w:pStyle w:val="MDPI42tablebody"/>
              <w:suppressAutoHyphens/>
              <w:jc w:val="center"/>
            </w:pPr>
            <m:oMath>
              <m:r>
                <m:rPr>
                  <m:sty m:val="p"/>
                </m:rPr>
                <m:t>+</m:t>
              </m:r>
              <m:r>
                <m:t>2.09</m:t>
              </m:r>
            </m:oMath>
            <w:r>
              <w:t xml:space="preserve">​</w:t>
            </w:r>
          </w:p>
        </w:tc>
        <w:tc>
          <w:tcPr>
            <w:vAlign w:val="center"/>
          </w:tcPr>
          <w:p>
            <w:pPr>
              <w:pStyle w:val="MDPI42tablebody"/>
              <w:suppressAutoHyphens/>
              <w:jc w:val="center"/>
            </w:pPr>
          </w:p>
        </w:tc>
      </w:tr>
    </w:tbl>
    <w:bookmarkEnd w:id="58"/>
    <w:p>
      <w:pPr>
        <w:pStyle w:val="MDPI43tablefooter"/>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MDPI52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MDPI51figurecaption"/>
      </w:pPr>
      <w:r>
        <w:rPr>
          <w:b/>
        </w:rPr>
        <w:t xml:space="preserve">Figure 3. </w:t>
      </w: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MDPI22heading2"/>
      </w:pPr>
      <w:r>
        <w:t xml:space="preserve">3.6. </w:t>
      </w:r>
      <w:r>
        <w:t xml:space="preserve">Alternative explanations</w:t>
      </w:r>
    </w:p>
    <w:p>
      <w:pPr>
        <w:pStyle w:val="MDPI31text"/>
      </w:pPr>
      <w:r>
        <w:t xml:space="preserve">A perfect model does not by itself secure a high margin. The full-model planner, which</w:t>
      </w:r>
      <w:r>
        <w:t xml:space="preserve"> </w:t>
      </w:r>
      <w:r>
        <w:t xml:space="preserve">uses the simulator’s own 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w:t>
      </w:r>
      <w:r>
        <w:t xml:space="preserve"> </w:t>
      </w:r>
      <w:r>
        <w:t xml:space="preserve">shortfall cannot be attributed to the price-aligned surrogate cost of</w:t>
      </w:r>
      <w:r>
        <w:t xml:space="preserve"> </w:t>
      </w:r>
      <w:r>
        <w:t xml:space="preserve">Section </w:t>
      </w:r>
      <w:hyperlink w:anchor="sec:res-main">
        <w:r>
          <w:rPr>
            <w:rStyle w:val="Hyperlink"/>
          </w:rPr>
          <w:t xml:space="preserve">3.3</w:t>
        </w:r>
      </w:hyperlink>
      <w:r>
        <w:t xml:space="preserve">, because it never optimised the weighted surrogate cost and</w:t>
      </w:r>
      <w:r>
        <w:t xml:space="preserve"> </w:t>
      </w:r>
      <w:r>
        <w:t xml:space="preserve">instead maximised the simulator’s own economic return over its horizon. Its optimiser is</w:t>
      </w:r>
      <w:r>
        <w:t xml:space="preserve"> </w:t>
      </w:r>
      <w:r>
        <w:t xml:space="preserve">weak, a warm-started cross-entropy search over a few dozen candidate sequences, so its</w:t>
      </w:r>
      <w:r>
        <w:t xml:space="preserve"> </w:t>
      </w:r>
      <w:r>
        <w:t xml:space="preserve">rank bounds what model fidelity alone can show in this benchmark rather than what it is</w:t>
      </w:r>
      <w:r>
        <w:t xml:space="preserve"> </w:t>
      </w:r>
      <w:r>
        <w:t xml:space="preserve">worth: the evidence that surrogate accuracy is not the binding constraint comes from the</w:t>
      </w:r>
      <w:r>
        <w:t xml:space="preserve"> </w:t>
      </w:r>
      <w:r>
        <w:t xml:space="preserve">replay below, not from the planner. Its 2022 season is absent from Table </w:t>
      </w:r>
      <w:hyperlink w:anchor="tab:main">
        <w:r>
          <w:rPr>
            <w:rStyle w:val="Hyperlink"/>
          </w:rPr>
          <w:t xml:space="preserve">6</w:t>
        </w:r>
      </w:hyperlink>
      <w:r>
        <w:t xml:space="preserve"> </w:t>
      </w:r>
      <w:r>
        <w:t xml:space="preserve">because all 20 runs hit the common solver-failure budget of 100, at about</w:t>
      </w:r>
      <w:r>
        <w:t xml:space="preserve"> </w:t>
      </w:r>
      <m:oMath>
        <m:r>
          <m:t>95</m:t>
        </m:r>
        <m:r>
          <m:t> </m:t>
        </m:r>
        <m:r>
          <m:rPr>
            <m:sty m:val="p"/>
          </m:rPr>
          <m:t>%</m:t>
        </m:r>
      </m:oMath>
      <w:r>
        <w:t xml:space="preserve"> </w:t>
      </w:r>
      <w:r>
        <w:t xml:space="preserve">of the</w:t>
      </w:r>
      <w:r>
        <w:t xml:space="preserve"> </w:t>
      </w:r>
      <w:r>
        <w:t xml:space="preserve">season (season fraction</w:t>
      </w:r>
      <w:r>
        <w:t xml:space="preserve"> </w:t>
      </w:r>
      <m:oMath>
        <m:r>
          <m:t>0.936</m:t>
        </m:r>
      </m:oMath>
      <w:r>
        <w:t xml:space="preserve">–</w:t>
      </w:r>
      <m:oMath>
        <m:r>
          <m:t>0.987</m:t>
        </m:r>
      </m:oMath>
      <w:r>
        <w:t xml:space="preserve">, mean</w:t>
      </w:r>
      <w:r>
        <w:t xml:space="preserve"> </w:t>
      </w:r>
      <m:oMath>
        <m:r>
          <m:t>0.950</m:t>
        </m:r>
      </m:oMath>
      <w:r>
        <w:t xml:space="preserve">). The season is solvable within a</w:t>
      </w:r>
      <w:r>
        <w:t xml:space="preserve"> </w:t>
      </w:r>
      <w:r>
        <w:t xml:space="preserve">larger budget; with the budget raised to</w:t>
      </w:r>
      <w:r>
        <w:t xml:space="preserve"> </w:t>
      </w:r>
      <m:oMath>
        <m:sSup>
          <m:e>
            <m:r>
              <m:t>10</m:t>
            </m:r>
          </m:e>
          <m:sup>
            <m:r>
              <m:t>5</m:t>
            </m:r>
          </m:sup>
        </m:sSup>
      </m:oMath>
      <w:r>
        <w:t xml:space="preserve"> </w:t>
      </w:r>
      <w:r>
        <w:t xml:space="preserve">it completes on both tested seeds,</w:t>
      </w:r>
      <w:r>
        <w:t xml:space="preserve"> </w:t>
      </w:r>
      <w:r>
        <w:t xml:space="preserve">requiring 140 and 103 failures 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w:t>
      </w:r>
      <w:r>
        <w:t xml:space="preserve"> </w:t>
      </w:r>
      <w:r>
        <w:t xml:space="preserve">that mean gives a four-season 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are</w:t>
      </w:r>
      <w:r>
        <w:t xml:space="preserve"> </w:t>
      </w:r>
      <w:r>
        <w:t xml:space="preserve">reported, and the planner’s rank is the same under either.</w:t>
      </w:r>
    </w:p>
    <w:p>
      <w:pPr>
        <w:pStyle w:val="MDPI31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is not its error in operation.</w:t>
      </w:r>
    </w:p>
    <w:p>
      <w:pPr>
        <w:pStyle w:val="MDPI31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as the compounding-error mechanism predicts.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MDPI31text"/>
      </w:pPr>
      <w:r>
        <w:t xml:space="preserve">The bootstrap draw of the ensemble optimiser is a secondary source of variation.</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default</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are cited separately here.</w:t>
      </w:r>
    </w:p>
    <w:bookmarkEnd w:id="64"/>
    <w:bookmarkStart w:id="66" w:name="sec:res-safety"/>
    <w:p>
      <w:pPr>
        <w:pStyle w:val="MDPI22heading2"/>
      </w:pPr>
      <w:r>
        <w:t xml:space="preserve">3.7. </w:t>
      </w:r>
      <w:r>
        <w:t xml:space="preserve">Adaptation and safety</w:t>
      </w:r>
    </w:p>
    <w:p>
      <w:pPr>
        <w:pStyle w:val="MDPI31text"/>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default</w:t>
      </w:r>
      <w:r>
        <w:t xml:space="preserve"> </w:t>
      </w:r>
      <w:r>
        <w:t xml:space="preserve">objective. On-policy re-identification (the surrogate is rolled out in closed loop, the visited states are appended to the training set and the model is re-estimated, with no expert queried, so this is not DAgger [41])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MDPI31text"/>
      </w:pPr>
      <w:r>
        <w:t xml:space="preserve">The Mahalanobis-distance safety guard [42–43] lowers the mean</w:t>
      </w:r>
      <w:r>
        <w:t xml:space="preserve"> </w:t>
      </w:r>
      <w:r>
        <w:t xml:space="preserve">margin and raises the violation count. Guarded 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but the paired median is</w:t>
      </w:r>
      <w:r>
        <w:t xml:space="preserve"> </w:t>
      </w:r>
      <m:oMath>
        <m:r>
          <m:rPr>
            <m:sty m:val="p"/>
          </m:rPr>
          <m:t>+</m:t>
        </m:r>
        <m:r>
          <m:t>0.19</m:t>
        </m:r>
      </m:oMath>
      <w:r>
        <w:t xml:space="preserve"> </w:t>
      </w:r>
      <w:r>
        <w:t xml:space="preserve">and the guard is better in 335 of 600 pairs (</w:t>
      </w:r>
      <m:oMath>
        <m:r>
          <m:t>p</m:t>
        </m:r>
        <m:r>
          <m:rPr>
            <m:sty m:val="p"/>
          </m:rPr>
          <m:t>=</m:t>
        </m:r>
        <m:r>
          <m:t>0.0047</m:t>
        </m:r>
      </m:oMath>
      <w:r>
        <w:t xml:space="preserve">), because the guard shortens a</w:t>
      </w:r>
      <w:r>
        <w:t xml:space="preserve"> </w:t>
      </w:r>
      <w:r>
        <w:t xml:space="preserve">heavy left tail while shaving the centre, so both statistics are reported. Violations are</w:t>
      </w:r>
      <w:r>
        <w:t xml:space="preserve"> </w:t>
      </w:r>
      <w:r>
        <w:t xml:space="preserve">worse under the guard (</w:t>
      </w:r>
      <m:oMath>
        <m:r>
          <m:rPr>
            <m:sty m:val="p"/>
          </m:rPr>
          <m:t>+</m:t>
        </m:r>
        <m:r>
          <m:t>430</m:t>
        </m:r>
      </m:oMath>
      <w:r>
        <w:t xml:space="preserve"> </w:t>
      </w:r>
      <w:r>
        <w:t xml:space="preserve">steps, worse in 529 of 600,</w:t>
      </w:r>
      <w:r>
        <w:t xml:space="preserve"> </w:t>
      </w:r>
      <m:oMath>
        <m:r>
          <m:t>p</m:t>
        </m:r>
        <m:r>
          <m:rPr>
            <m:sty m:val="p"/>
          </m:rPr>
          <m:t>=</m:t>
        </m:r>
        <m:r>
          <m:t>5</m:t>
        </m:r>
        <m:r>
          <m:rPr>
            <m:sty m:val="p"/>
          </m:rPr>
          <m:t>×</m:t>
        </m:r>
        <m:sSup>
          <m:e>
            <m:r>
              <m:t>10</m:t>
            </m:r>
          </m:e>
          <m:sup>
            <m:r>
              <m:rPr>
                <m:sty m:val="p"/>
              </m:rPr>
              <m:t>−</m:t>
            </m:r>
            <m:r>
              <m:t>85</m:t>
            </m:r>
          </m:sup>
        </m:sSup>
      </m:oMath>
      <w:r>
        <w:t xml:space="preserve">), and 179 of</w:t>
      </w:r>
      <w:r>
        <w:t xml:space="preserve"> </w:t>
      </w:r>
      <w:r>
        <w:t xml:space="preserve">600 guarded seasons terminate early. Restricted to completed seasons, the margin</w:t>
      </w:r>
      <w:r>
        <w:t xml:space="preserve"> </w:t>
      </w:r>
      <w:r>
        <w:t xml:space="preserve">difference is</w:t>
      </w:r>
      <w:r>
        <w:t xml:space="preserve"> </w:t>
      </w:r>
      <m:oMath>
        <m:r>
          <m:rPr>
            <m:sty m:val="p"/>
          </m:rPr>
          <m:t>−</m:t>
        </m:r>
        <m:r>
          <m:t>0.33</m:t>
        </m:r>
      </m:oMath>
      <w:r>
        <w:t xml:space="preserve"> </w:t>
      </w:r>
      <w:r>
        <w:t xml:space="preserve">and not significant (</w:t>
      </w:r>
      <m:oMath>
        <m:r>
          <m:t>p</m:t>
        </m:r>
        <m:r>
          <m:rPr>
            <m:sty m:val="p"/>
          </m:rPr>
          <m:t>=</m:t>
        </m:r>
        <m:r>
          <m:t>0.081</m:t>
        </m:r>
      </m:oMath>
      <w:r>
        <w:t xml:space="preserve">). The underlying detector is weak: the</w:t>
      </w:r>
      <w:r>
        <w:t xml:space="preserve"> </w:t>
      </w:r>
      <w:r>
        <w:t xml:space="preserve">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 [44], barely above chance. The guard’s</w:t>
      </w:r>
      <w:r>
        <w:t xml:space="preserve"> </w:t>
      </w:r>
      <w:r>
        <w:t xml:space="preserve">activation count was never recorded, so the natural explanatory variable is unmeasured.</w:t>
      </w:r>
    </w:p>
    <w:p>
      <w:pPr>
        <w:pStyle w:val="MDPI31text"/>
      </w:pPr>
      <w:r>
        <w:t xml:space="preserve">The residual-based fault supervisor, in contrast, is beneficial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reduces dispersion more</w:t>
      </w:r>
      <w:r>
        <w:t xml:space="preserve"> </w:t>
      </w:r>
      <w:r>
        <w:t xml:space="preserve">than it raises margin. Violations fall sharply (9131 to 5292 under a dead vent; 5198 to</w:t>
      </w:r>
      <w:r>
        <w:t xml:space="preserve"> </w:t>
      </w:r>
      <w:r>
        <w:t xml:space="preserve">2660 under a stuck boiler). Two faults remain net-destructive even when supervised. With</w:t>
      </w:r>
      <w:r>
        <w:t xml:space="preserve"> </w:t>
      </w:r>
      <w:r>
        <w:t xml:space="preserve">the lamps dead, the supervised fallback (</w:t>
      </w:r>
      <m:oMath>
        <m:r>
          <m:rPr>
            <m:sty m:val="p"/>
          </m:rPr>
          <m:t>+</m:t>
        </m:r>
        <m:r>
          <m:t>6.33</m:t>
        </m:r>
      </m:oMath>
      <w:r>
        <w:t xml:space="preserve">) outperforms the nominal fault-free</w:t>
      </w:r>
      <w:r>
        <w:t xml:space="preserve"> </w:t>
      </w:r>
      <w:r>
        <w:t xml:space="preserve">controller (</w:t>
      </w:r>
      <m:oMath>
        <m:r>
          <m:rPr>
            <m:sty m:val="p"/>
          </m:rPr>
          <m:t>+</m:t>
        </m:r>
        <m:r>
          <m:t>3.63</m:t>
        </m:r>
      </m:oMath>
      <w:r>
        <w:t xml:space="preserve">), which implies that the nominal MPC over-uses supplementary lighting.</w:t>
      </w:r>
    </w:p>
    <w:bookmarkStart w:id="65" w:name="tab:faults"/>
    <w:p>
      <w:pPr>
        <w:pStyle w:val="MDPI41tablecaption"/>
      </w:pPr>
      <w:r>
        <w:rPr>
          <w:b/>
        </w:rPr>
        <w:t xml:space="preserve">Table 12. </w:t>
      </w: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MDPI41threeline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vAlign w:val="center"/>
          </w:tcPr>
          <w:p>
            <w:pPr>
              <w:pStyle w:val="MDPI42tablebody"/>
              <w:suppressAutoHyphens/>
              <w:jc w:val="center"/>
            </w:pPr>
            <w:r>
              <w:t xml:space="preserve">Fault</w:t>
            </w:r>
          </w:p>
        </w:tc>
        <w:tc>
          <w:tcPr>
            <w:vAlign w:val="center"/>
          </w:tcPr>
          <w:p>
            <w:pPr>
              <w:pStyle w:val="MDPI42tablebody"/>
              <w:suppressAutoHyphens/>
              <w:jc w:val="center"/>
            </w:pPr>
            <w:r>
              <w:t xml:space="preserve">No supervisor</w:t>
            </w:r>
          </w:p>
        </w:tc>
        <w:tc>
          <w:tcPr>
            <w:vAlign w:val="center"/>
          </w:tcPr>
          <w:p>
            <w:pPr>
              <w:pStyle w:val="MDPI42tablebody"/>
              <w:suppressAutoHyphens/>
              <w:jc w:val="center"/>
            </w:pPr>
            <w:r>
              <w:t xml:space="preserve">Supervised</w:t>
            </w:r>
          </w:p>
        </w:tc>
        <w:tc>
          <w:tcPr>
            <w:vAlign w:val="center"/>
          </w:tcPr>
          <w:p>
            <w:pPr>
              <w:pStyle w:val="MDPI42tablebody"/>
              <w:suppressAutoHyphens/>
              <w:jc w:val="center"/>
            </w:pPr>
            <m:oMath>
              <m:r>
                <m:rPr>
                  <m:sty m:val="p"/>
                </m:rPr>
                <m:t>Δ</m:t>
              </m:r>
            </m:oMath>
            <w:r>
              <w:t xml:space="preserve">​</w:t>
            </w:r>
          </w:p>
        </w:tc>
        <w:tc>
          <w:tcPr>
            <w:vAlign w:val="center"/>
          </w:tcPr>
          <w:p>
            <w:pPr>
              <w:pStyle w:val="MDPI42tablebody"/>
              <w:suppressAutoHyphens/>
              <w:jc w:val="center"/>
            </w:pPr>
            <w:r>
              <w:t xml:space="preserve">Wins</w:t>
            </w:r>
          </w:p>
        </w:tc>
        <w:tc>
          <w:tcPr>
            <w:vAlign w:val="center"/>
          </w:tcPr>
          <w:p>
            <w:pPr>
              <w:pStyle w:val="MDPI42tablebody"/>
              <w:suppressAutoHyphens/>
              <w:jc w:val="center"/>
            </w:pPr>
            <w:r>
              <w:t xml:space="preserve">vs. fault-free</w:t>
            </w:r>
          </w:p>
        </w:tc>
      </w:tr>
      <w:tr>
        <w:tc>
          <w:tcPr>
            <w:vAlign w:val="center"/>
          </w:tcPr>
          <w:p>
            <w:pPr>
              <w:pStyle w:val="MDPI42tablebody"/>
              <w:suppressAutoHyphens/>
              <w:jc w:val="center"/>
            </w:pPr>
            <w:r>
              <w:rPr>
                <w:rStyle w:val="VerbatimChar"/>
              </w:rPr>
              <w:t xml:space="preserve">uVent_dead</w:t>
            </w:r>
          </w:p>
        </w:tc>
        <w:tc>
          <w:tcPr>
            <w:vAlign w:val="center"/>
          </w:tcPr>
          <w:p>
            <w:pPr>
              <w:pStyle w:val="MDPI42tablebody"/>
              <w:suppressAutoHyphens/>
              <w:jc w:val="center"/>
            </w:pPr>
            <m:oMath>
              <m:r>
                <m:rPr>
                  <m:sty m:val="p"/>
                </m:rPr>
                <m:t>−</m:t>
              </m:r>
              <m:r>
                <m:t>18.19</m:t>
              </m:r>
            </m:oMath>
            <w:r>
              <w:t xml:space="preserve"> </w:t>
            </w:r>
            <w:r>
              <w:t xml:space="preserve">(5.48)</w:t>
            </w:r>
          </w:p>
        </w:tc>
        <w:tc>
          <w:tcPr>
            <w:vAlign w:val="center"/>
          </w:tcPr>
          <w:p>
            <w:pPr>
              <w:pStyle w:val="MDPI42tablebody"/>
              <w:suppressAutoHyphens/>
              <w:jc w:val="center"/>
            </w:pPr>
            <m:oMath>
              <m:r>
                <m:rPr>
                  <m:sty m:val="p"/>
                </m:rPr>
                <m:t>+</m:t>
              </m:r>
              <m:r>
                <m:t>0.10</m:t>
              </m:r>
            </m:oMath>
            <w:r>
              <w:t xml:space="preserve"> </w:t>
            </w:r>
            <w:r>
              <w:t xml:space="preserve">(0.30)</w:t>
            </w:r>
          </w:p>
        </w:tc>
        <w:tc>
          <w:tcPr>
            <w:vAlign w:val="center"/>
          </w:tcPr>
          <w:p>
            <w:pPr>
              <w:pStyle w:val="MDPI42tablebody"/>
              <w:suppressAutoHyphens/>
              <w:jc w:val="center"/>
            </w:pPr>
            <m:oMath>
              <m:r>
                <m:rPr>
                  <m:sty m:val="p"/>
                </m:rPr>
                <m:t>+</m:t>
              </m:r>
              <m:r>
                <m:t>18.28</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3.53</m:t>
              </m:r>
            </m:oMath>
            <w:r>
              <w:t xml:space="preserve">​</w:t>
            </w:r>
          </w:p>
        </w:tc>
      </w:tr>
      <w:tr>
        <w:tc>
          <w:tcPr>
            <w:vAlign w:val="center"/>
          </w:tcPr>
          <w:p>
            <w:pPr>
              <w:pStyle w:val="MDPI42tablebody"/>
              <w:suppressAutoHyphens/>
              <w:jc w:val="center"/>
            </w:pPr>
            <w:r>
              <w:rPr>
                <w:rStyle w:val="VerbatimChar"/>
              </w:rPr>
              <w:t xml:space="preserve">uBoil_stuck</w:t>
            </w:r>
          </w:p>
        </w:tc>
        <w:tc>
          <w:tcPr>
            <w:vAlign w:val="center"/>
          </w:tcPr>
          <w:p>
            <w:pPr>
              <w:pStyle w:val="MDPI42tablebody"/>
              <w:suppressAutoHyphens/>
              <w:jc w:val="center"/>
            </w:pPr>
            <m:oMath>
              <m:r>
                <m:rPr>
                  <m:sty m:val="p"/>
                </m:rPr>
                <m:t>−</m:t>
              </m:r>
              <m:r>
                <m:t>8.41</m:t>
              </m:r>
            </m:oMath>
            <w:r>
              <w:t xml:space="preserve"> </w:t>
            </w:r>
            <w:r>
              <w:t xml:space="preserve">(5.35)</w:t>
            </w:r>
          </w:p>
        </w:tc>
        <w:tc>
          <w:tcPr>
            <w:vAlign w:val="center"/>
          </w:tcPr>
          <w:p>
            <w:pPr>
              <w:pStyle w:val="MDPI42tablebody"/>
              <w:suppressAutoHyphens/>
              <w:jc w:val="center"/>
            </w:pPr>
            <m:oMath>
              <m:r>
                <m:rPr>
                  <m:sty m:val="p"/>
                </m:rPr>
                <m:t>−</m:t>
              </m:r>
              <m:r>
                <m:t>3.88</m:t>
              </m:r>
            </m:oMath>
            <w:r>
              <w:t xml:space="preserve"> </w:t>
            </w:r>
            <w:r>
              <w:t xml:space="preserve">(0.29)</w:t>
            </w:r>
          </w:p>
        </w:tc>
        <w:tc>
          <w:tcPr>
            <w:vAlign w:val="center"/>
          </w:tcPr>
          <w:p>
            <w:pPr>
              <w:pStyle w:val="MDPI42tablebody"/>
              <w:suppressAutoHyphens/>
              <w:jc w:val="center"/>
            </w:pPr>
            <m:oMath>
              <m:r>
                <m:rPr>
                  <m:sty m:val="p"/>
                </m:rPr>
                <m:t>+</m:t>
              </m:r>
              <m:r>
                <m:t>4.53</m:t>
              </m:r>
            </m:oMath>
            <w:r>
              <w:t xml:space="preserve">​</w:t>
            </w:r>
          </w:p>
        </w:tc>
        <w:tc>
          <w:tcPr>
            <w:vAlign w:val="center"/>
          </w:tcPr>
          <w:p>
            <w:pPr>
              <w:pStyle w:val="MDPI42tablebody"/>
              <w:suppressAutoHyphens/>
              <w:jc w:val="center"/>
            </w:pPr>
            <w:r>
              <w:t xml:space="preserve">16/20</w:t>
            </w:r>
          </w:p>
        </w:tc>
        <w:tc>
          <w:tcPr>
            <w:vAlign w:val="center"/>
          </w:tcPr>
          <w:p>
            <w:pPr>
              <w:pStyle w:val="MDPI42tablebody"/>
              <w:suppressAutoHyphens/>
              <w:jc w:val="center"/>
            </w:pPr>
            <m:oMath>
              <m:r>
                <m:rPr>
                  <m:sty m:val="p"/>
                </m:rPr>
                <m:t>−</m:t>
              </m:r>
              <m:r>
                <m:t>7.50</m:t>
              </m:r>
            </m:oMath>
            <w:r>
              <w:t xml:space="preserve">​</w:t>
            </w:r>
          </w:p>
        </w:tc>
      </w:tr>
      <w:tr>
        <w:tc>
          <w:tcPr>
            <w:vAlign w:val="center"/>
          </w:tcPr>
          <w:p>
            <w:pPr>
              <w:pStyle w:val="MDPI42tablebody"/>
              <w:suppressAutoHyphens/>
              <w:jc w:val="center"/>
            </w:pPr>
            <w:r>
              <w:rPr>
                <w:rStyle w:val="VerbatimChar"/>
              </w:rPr>
              <w:t xml:space="preserve">rh_offset</w:t>
            </w:r>
          </w:p>
        </w:tc>
        <w:tc>
          <w:tcPr>
            <w:vAlign w:val="center"/>
          </w:tcPr>
          <w:p>
            <w:pPr>
              <w:pStyle w:val="MDPI42tablebody"/>
              <w:suppressAutoHyphens/>
              <w:jc w:val="center"/>
            </w:pPr>
            <m:oMath>
              <m:r>
                <m:rPr>
                  <m:sty m:val="p"/>
                </m:rPr>
                <m:t>+</m:t>
              </m:r>
              <m:r>
                <m:t>1.27</m:t>
              </m:r>
            </m:oMath>
            <w:r>
              <w:t xml:space="preserve"> </w:t>
            </w:r>
            <w:r>
              <w:t xml:space="preserve">(3.72)</w:t>
            </w:r>
          </w:p>
        </w:tc>
        <w:tc>
          <w:tcPr>
            <w:vAlign w:val="center"/>
          </w:tcPr>
          <w:p>
            <w:pPr>
              <w:pStyle w:val="MDPI42tablebody"/>
              <w:suppressAutoHyphens/>
              <w:jc w:val="center"/>
            </w:pPr>
            <m:oMath>
              <m:r>
                <m:rPr>
                  <m:sty m:val="p"/>
                </m:rPr>
                <m:t>+</m:t>
              </m:r>
              <m:r>
                <m:t>4.45</m:t>
              </m:r>
            </m:oMath>
            <w:r>
              <w:t xml:space="preserve"> </w:t>
            </w:r>
            <w:r>
              <w:t xml:space="preserve">(0.36)</w:t>
            </w:r>
          </w:p>
        </w:tc>
        <w:tc>
          <w:tcPr>
            <w:vAlign w:val="center"/>
          </w:tcPr>
          <w:p>
            <w:pPr>
              <w:pStyle w:val="MDPI42tablebody"/>
              <w:suppressAutoHyphens/>
              <w:jc w:val="center"/>
            </w:pPr>
            <m:oMath>
              <m:r>
                <m:rPr>
                  <m:sty m:val="p"/>
                </m:rPr>
                <m:t>+</m:t>
              </m:r>
              <m:r>
                <m:t>3.19</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0.83</m:t>
              </m:r>
            </m:oMath>
            <w:r>
              <w:t xml:space="preserve">​</w:t>
            </w:r>
          </w:p>
        </w:tc>
      </w:tr>
      <w:tr>
        <w:tc>
          <w:tcPr>
            <w:vAlign w:val="center"/>
          </w:tcPr>
          <w:p>
            <w:pPr>
              <w:pStyle w:val="MDPI42tablebody"/>
              <w:suppressAutoHyphens/>
              <w:jc w:val="center"/>
            </w:pPr>
            <w:r>
              <w:rPr>
                <w:rStyle w:val="VerbatimChar"/>
              </w:rPr>
              <w:t xml:space="preserve">uLamp_dead</w:t>
            </w:r>
          </w:p>
        </w:tc>
        <w:tc>
          <w:tcPr>
            <w:vAlign w:val="center"/>
          </w:tcPr>
          <w:p>
            <w:pPr>
              <w:pStyle w:val="MDPI42tablebody"/>
              <w:suppressAutoHyphens/>
              <w:jc w:val="center"/>
            </w:pPr>
            <m:oMath>
              <m:r>
                <m:rPr>
                  <m:sty m:val="p"/>
                </m:rPr>
                <m:t>+</m:t>
              </m:r>
              <m:r>
                <m:t>3.50</m:t>
              </m:r>
            </m:oMath>
            <w:r>
              <w:t xml:space="preserve"> </w:t>
            </w:r>
            <w:r>
              <w:t xml:space="preserve">(1.64)</w:t>
            </w:r>
          </w:p>
        </w:tc>
        <w:tc>
          <w:tcPr>
            <w:vAlign w:val="center"/>
          </w:tcPr>
          <w:p>
            <w:pPr>
              <w:pStyle w:val="MDPI42tablebody"/>
              <w:suppressAutoHyphens/>
              <w:jc w:val="center"/>
            </w:pPr>
            <m:oMath>
              <m:r>
                <m:rPr>
                  <m:sty m:val="p"/>
                </m:rPr>
                <m:t>+</m:t>
              </m:r>
              <m:r>
                <m:t>6.33</m:t>
              </m:r>
            </m:oMath>
            <w:r>
              <w:t xml:space="preserve"> </w:t>
            </w:r>
            <w:r>
              <w:t xml:space="preserve">(0.29)</w:t>
            </w:r>
          </w:p>
        </w:tc>
        <w:tc>
          <w:tcPr>
            <w:vAlign w:val="center"/>
          </w:tcPr>
          <w:p>
            <w:pPr>
              <w:pStyle w:val="MDPI42tablebody"/>
              <w:suppressAutoHyphens/>
              <w:jc w:val="center"/>
            </w:pPr>
            <m:oMath>
              <m:r>
                <m:rPr>
                  <m:sty m:val="p"/>
                </m:rPr>
                <m:t>+</m:t>
              </m:r>
              <m:r>
                <m:t>2.82</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2.70</m:t>
              </m:r>
            </m:oMath>
            <w:r>
              <w:t xml:space="preserve">​</w:t>
            </w:r>
          </w:p>
        </w:tc>
      </w:tr>
      <w:tr>
        <w:tc>
          <w:tcPr>
            <w:vAlign w:val="center"/>
          </w:tcPr>
          <w:p>
            <w:pPr>
              <w:pStyle w:val="MDPI42tablebody"/>
              <w:suppressAutoHyphens/>
              <w:jc w:val="center"/>
            </w:pPr>
            <w:r>
              <w:rPr>
                <w:rStyle w:val="VerbatimChar"/>
              </w:rPr>
              <w:t xml:space="preserve">t_in_stuck</w:t>
            </w:r>
          </w:p>
        </w:tc>
        <w:tc>
          <w:tcPr>
            <w:vAlign w:val="center"/>
          </w:tcPr>
          <w:p>
            <w:pPr>
              <w:pStyle w:val="MDPI42tablebody"/>
              <w:suppressAutoHyphens/>
              <w:jc w:val="center"/>
            </w:pPr>
            <m:oMath>
              <m:r>
                <m:rPr>
                  <m:sty m:val="p"/>
                </m:rPr>
                <m:t>+</m:t>
              </m:r>
              <m:r>
                <m:t>3.06</m:t>
              </m:r>
            </m:oMath>
            <w:r>
              <w:t xml:space="preserve"> </w:t>
            </w:r>
            <w:r>
              <w:t xml:space="preserve">(1.18)</w:t>
            </w:r>
          </w:p>
        </w:tc>
        <w:tc>
          <w:tcPr>
            <w:vAlign w:val="center"/>
          </w:tcPr>
          <w:p>
            <w:pPr>
              <w:pStyle w:val="MDPI42tablebody"/>
              <w:suppressAutoHyphens/>
              <w:jc w:val="center"/>
            </w:pPr>
            <m:oMath>
              <m:r>
                <m:rPr>
                  <m:sty m:val="p"/>
                </m:rPr>
                <m:t>+</m:t>
              </m:r>
              <m:r>
                <m:t>4.42</m:t>
              </m:r>
            </m:oMath>
            <w:r>
              <w:t xml:space="preserve"> </w:t>
            </w:r>
            <w:r>
              <w:t xml:space="preserve">(0.29)</w:t>
            </w:r>
          </w:p>
        </w:tc>
        <w:tc>
          <w:tcPr>
            <w:vAlign w:val="center"/>
          </w:tcPr>
          <w:p>
            <w:pPr>
              <w:pStyle w:val="MDPI42tablebody"/>
              <w:suppressAutoHyphens/>
              <w:jc w:val="center"/>
            </w:pPr>
            <m:oMath>
              <m:r>
                <m:rPr>
                  <m:sty m:val="p"/>
                </m:rPr>
                <m:t>+</m:t>
              </m:r>
              <m:r>
                <m:t>1.36</m:t>
              </m:r>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rPr>
                  <m:sty m:val="p"/>
                </m:rPr>
                <m:t>+</m:t>
              </m:r>
              <m:r>
                <m:t>0.79</m:t>
              </m:r>
            </m:oMath>
            <w:r>
              <w:t xml:space="preserve">​</w:t>
            </w:r>
          </w:p>
        </w:tc>
      </w:tr>
      <w:tr>
        <w:tc>
          <w:tcPr>
            <w:vAlign w:val="center"/>
          </w:tcPr>
          <w:p>
            <w:pPr>
              <w:pStyle w:val="MDPI42tablebody"/>
              <w:suppressAutoHyphens/>
              <w:jc w:val="center"/>
            </w:pPr>
            <w:r>
              <w:rPr>
                <w:rStyle w:val="VerbatimChar"/>
              </w:rPr>
              <w:t xml:space="preserve">t_in_offset</w:t>
            </w:r>
          </w:p>
        </w:tc>
        <w:tc>
          <w:tcPr>
            <w:vAlign w:val="center"/>
          </w:tcPr>
          <w:p>
            <w:pPr>
              <w:pStyle w:val="MDPI42tablebody"/>
              <w:suppressAutoHyphens/>
              <w:jc w:val="center"/>
            </w:pPr>
            <m:oMath>
              <m:r>
                <m:rPr>
                  <m:sty m:val="p"/>
                </m:rPr>
                <m:t>+</m:t>
              </m:r>
              <m:r>
                <m:t>3.67</m:t>
              </m:r>
            </m:oMath>
            <w:r>
              <w:t xml:space="preserve"> </w:t>
            </w:r>
            <w:r>
              <w:t xml:space="preserve">(1.16)</w:t>
            </w:r>
          </w:p>
        </w:tc>
        <w:tc>
          <w:tcPr>
            <w:vAlign w:val="center"/>
          </w:tcPr>
          <w:p>
            <w:pPr>
              <w:pStyle w:val="MDPI42tablebody"/>
              <w:suppressAutoHyphens/>
              <w:jc w:val="center"/>
            </w:pPr>
            <m:oMath>
              <m:r>
                <m:rPr>
                  <m:sty m:val="p"/>
                </m:rPr>
                <m:t>+</m:t>
              </m:r>
              <m:r>
                <m:t>4.47</m:t>
              </m:r>
            </m:oMath>
            <w:r>
              <w:t xml:space="preserve"> </w:t>
            </w:r>
            <w:r>
              <w:t xml:space="preserve">(0.39)</w:t>
            </w:r>
          </w:p>
        </w:tc>
        <w:tc>
          <w:tcPr>
            <w:vAlign w:val="center"/>
          </w:tcPr>
          <w:p>
            <w:pPr>
              <w:pStyle w:val="MDPI42tablebody"/>
              <w:suppressAutoHyphens/>
              <w:jc w:val="center"/>
            </w:pPr>
            <m:oMath>
              <m:r>
                <m:rPr>
                  <m:sty m:val="p"/>
                </m:rPr>
                <m:t>+</m:t>
              </m:r>
              <m:r>
                <m:t>0.80</m:t>
              </m:r>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rPr>
                  <m:sty m:val="p"/>
                </m:rPr>
                <m:t>+</m:t>
              </m:r>
              <m:r>
                <m:t>0.84</m:t>
              </m:r>
            </m:oMath>
            <w:r>
              <w:t xml:space="preserve">​</w:t>
            </w:r>
          </w:p>
        </w:tc>
      </w:tr>
    </w:tbl>
    <w:bookmarkEnd w:id="65"/>
    <w:bookmarkEnd w:id="66"/>
    <w:bookmarkStart w:id="72" w:name="sec:res-sens"/>
    <w:p>
      <w:pPr>
        <w:pStyle w:val="MDPI22heading2"/>
      </w:pPr>
      <w:r>
        <w:t xml:space="preserve">3.8. </w:t>
      </w:r>
      <w:r>
        <w:t xml:space="preserve">Sensitivity to design parameters and to prices</w:t>
      </w:r>
    </w:p>
    <w:p>
      <w:pPr>
        <w:pStyle w:val="MDPI31text"/>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is non-monotone, peaking at</w:t>
      </w:r>
      <w:r>
        <w:t xml:space="preserve"> </w:t>
      </w:r>
      <m:oMath>
        <m:r>
          <m:rPr>
            <m:sty m:val="p"/>
          </m:rPr>
          <m:t>+</m:t>
        </m:r>
        <m:r>
          <m:t>5.40</m:t>
        </m:r>
      </m:oMath>
      <w:r>
        <w:t xml:space="preserve"> </w:t>
      </w:r>
      <w:r>
        <w:t xml:space="preserve">at the</w:t>
      </w:r>
      <w:r>
        <w:t xml:space="preserve"> </w:t>
      </w:r>
      <m:oMath>
        <m:r>
          <m:t>10</m:t>
        </m:r>
        <m:r>
          <m:t> </m:t>
        </m:r>
        <m:r>
          <m:rPr>
            <m:sty m:val="p"/>
          </m:rPr>
          <m:t>%</m:t>
        </m:r>
      </m:oMath>
      <w:r>
        <w:t xml:space="preserve"> </w:t>
      </w:r>
      <w:r>
        <w:t xml:space="preserve">level before falling to</w:t>
      </w:r>
      <w:r>
        <w:t xml:space="preserve"> </w:t>
      </w:r>
      <m:oMath>
        <m:r>
          <m:rPr>
            <m:sty m:val="p"/>
          </m:rPr>
          <m:t>−</m:t>
        </m:r>
        <m:r>
          <m:t>0.31</m:t>
        </m:r>
      </m:oMath>
      <w:r>
        <w:t xml:space="preserve">, a span of</w:t>
      </w:r>
      <w:r>
        <w:t xml:space="preserve"> </w:t>
      </w:r>
      <m:oMath>
        <m:r>
          <m:t>5.72</m:t>
        </m:r>
      </m:oMath>
      <w:r>
        <w:t xml:space="preserve">. Degradation therefore consists</w:t>
      </w:r>
      <w:r>
        <w:t xml:space="preserve"> </w:t>
      </w:r>
      <w:r>
        <w:t xml:space="preserve">of a growing minority of catastrophic runs rather than a uniform decline. Only the two</w:t>
      </w:r>
      <w:r>
        <w:t xml:space="preserve"> </w:t>
      </w:r>
      <w:r>
        <w:t xml:space="preserve">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MDPI31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(a factor of four in prices against</w:t>
      </w:r>
      <w:r>
        <w:t xml:space="preserve"> </w:t>
      </w:r>
      <m:oMath>
        <m:r>
          <m:rPr>
            <m:sty m:val="p"/>
          </m:rPr>
          <m:t>±</m:t>
        </m:r>
        <m:r>
          <m:t>20</m:t>
        </m:r>
        <m:r>
          <m:t> </m:t>
        </m:r>
        <m:r>
          <m:rPr>
            <m:sty m:val="p"/>
          </m:rPr>
          <m:t>%</m:t>
        </m:r>
      </m:oMath>
      <w:r>
        <w:t xml:space="preserve"> </w:t>
      </w:r>
      <w:r>
        <w:t xml:space="preserve">on coefficients), so this comparison does not show that prices matter more than</w:t>
      </w:r>
      <w:r>
        <w:t xml:space="preserve"> </w:t>
      </w:r>
      <w:r>
        <w:t xml:space="preserve">design. The ranking is, however, not price-invariant either: two distinct controllers win</w:t>
      </w:r>
      <w:r>
        <w:t xml:space="preserve"> </w:t>
      </w:r>
      <w:r>
        <w:t xml:space="preserve">across the nine price points (the heuristic at six, a re-identified SINDy variant at</w:t>
      </w:r>
      <w:r>
        <w:t xml:space="preserve"> </w:t>
      </w:r>
      <w:r>
        <w:t xml:space="preserve">three). The price grid was re-scored only for the 10 controllers of the canonical wave,</w:t>
      </w:r>
      <w:r>
        <w:t xml:space="preserve"> </w:t>
      </w:r>
      <w:r>
        <w:t xml:space="preserve">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MDPI31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default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on all 40 overlapping cells with the mechanism sweep that was run under</w:t>
      </w:r>
      <w:r>
        <w:t xml:space="preserve"> </w:t>
      </w:r>
      <w:r>
        <w:t xml:space="preserve">the priced objective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w:t>
      </w:r>
      <w:r>
        <w:t xml:space="preserve"> </w:t>
      </w:r>
      <w:r>
        <w:t xml:space="preserve">execution-environment drift of the default-objective values (39 of 40 horizon cells and 36</w:t>
      </w:r>
      <w:r>
        <w:t xml:space="preserve"> </w:t>
      </w:r>
      <w:r>
        <w:t xml:space="preserve">of 40 threshold cells within</w:t>
      </w:r>
      <w:r>
        <w:t xml:space="preserve"> </w:t>
      </w:r>
      <m:oMath>
        <m:r>
          <m:t>0.2</m:t>
        </m:r>
      </m:oMath>
      <w:r>
        <w:t xml:space="preserve"> </w:t>
      </w:r>
      <w:r>
        <w:t xml:space="preserve">EUR m</w:t>
      </w:r>
      <m:oMath>
        <m:sSup>
          <m:e>
            <m:r>
              <m:t>​</m:t>
            </m:r>
          </m:e>
          <m:sup>
            <m:r>
              <m:rPr>
                <m:sty m:val="p"/>
              </m:rPr>
              <m:t>−</m:t>
            </m:r>
            <m:r>
              <m:t>2</m:t>
            </m:r>
          </m:sup>
        </m:sSup>
      </m:oMath>
      <w:r>
        <w:t xml:space="preserve">; the remainder are chaotic</w:t>
      </w:r>
      <w:r>
        <w:t xml:space="preserve"> </w:t>
      </w:r>
      <w:r>
        <w:t xml:space="preserve">amplifications). The coefficient and</w:t>
      </w:r>
      <w:r>
        <w:t xml:space="preserve"> </w:t>
      </w:r>
      <w:r>
        <w:t xml:space="preserve">threshold sensitivities have consequently never been measured under the priced objective.</w:t>
      </w:r>
    </w:p>
    <w:bookmarkStart w:id="67" w:name="tab:sens"/>
    <w:p>
      <w:pPr>
        <w:pStyle w:val="MDPI41tablecaption"/>
      </w:pPr>
      <w:r>
        <w:rPr>
          <w:b/>
        </w:rPr>
        <w:t xml:space="preserve">Table 13. </w:t>
      </w: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default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MDPI41threelinetable"/>
        <w:tblW w:type="auto" w:w="0"/>
        <w:tblLook w:firstRow="1" w:lastRow="0" w:firstColumn="0" w:lastColumn="0" w:noHBand="0" w:noVBand="0" w:val="0020"/>
        <w:tblCaption w:val="Coefficient-perturbation sensitivity of a single SINDy-MPC controller, season 2020, 10 seeds \times 4 repetitions, default objective. EPI in EUR m^{-2}. Source: regen/results/priced_design/design_pricedDesign*.csv (deduplicated)."/>
      </w:tblPr>
      <w:tblGrid>
        <w:gridCol w:w="1320"/>
        <w:gridCol w:w="1320"/>
        <w:gridCol w:w="1320"/>
        <w:gridCol w:w="1320"/>
        <w:gridCol w:w="1320"/>
        <w:gridCol w:w="1320"/>
      </w:tblGrid>
      <w:tr>
        <w:trPr>
          <w:tblHeader w:val="on"/>
        </w:trPr>
        <w:tc>
          <w:tcPr>
            <w:vAlign w:val="center"/>
          </w:tcPr>
          <w:p>
            <w:pPr>
              <w:pStyle w:val="MDPI42tablebody"/>
              <w:suppressAutoHyphens/>
              <w:jc w:val="center"/>
            </w:pPr>
            <w:r>
              <w:t xml:space="preserve">Perturbation</w:t>
            </w:r>
          </w:p>
        </w:tc>
        <w:tc>
          <w:tcPr>
            <w:vAlign w:val="center"/>
          </w:tcPr>
          <w:p>
            <w:pPr>
              <w:pStyle w:val="MDPI42tablebody"/>
              <w:suppressAutoHyphens/>
              <w:jc w:val="center"/>
            </w:pPr>
            <w:r>
              <w:t xml:space="preserve">Mean</w:t>
            </w:r>
          </w:p>
        </w:tc>
        <w:tc>
          <w:tcPr>
            <w:vAlign w:val="center"/>
          </w:tcPr>
          <w:p>
            <w:pPr>
              <w:pStyle w:val="MDPI42tablebody"/>
              <w:suppressAutoHyphens/>
              <w:jc w:val="center"/>
            </w:pPr>
            <w:r>
              <w:t xml:space="preserve">SD</w:t>
            </w:r>
          </w:p>
        </w:tc>
        <w:tc>
          <w:tcPr>
            <w:vAlign w:val="center"/>
          </w:tcPr>
          <w:p>
            <w:pPr>
              <w:pStyle w:val="MDPI42tablebody"/>
              <w:suppressAutoHyphens/>
              <w:jc w:val="center"/>
            </w:pPr>
            <w:r>
              <w:t xml:space="preserve">Median</w:t>
            </w:r>
          </w:p>
        </w:tc>
        <w:tc>
          <w:tcPr>
            <w:vAlign w:val="center"/>
          </w:tcPr>
          <w:p>
            <w:pPr>
              <w:pStyle w:val="MDPI42tablebody"/>
              <w:suppressAutoHyphens/>
              <w:jc w:val="center"/>
            </w:pPr>
            <w:r>
              <w:t xml:space="preserve">Min</w:t>
            </w:r>
          </w:p>
        </w:tc>
        <w:tc>
          <w:tcPr>
            <w:vAlign w:val="center"/>
          </w:tcPr>
          <w:p>
            <w:pPr>
              <w:pStyle w:val="MDPI42tablebody"/>
              <w:suppressAutoHyphens/>
              <w:jc w:val="center"/>
            </w:pPr>
            <w:r>
              <w:t xml:space="preserve">Early terminations</w:t>
            </w:r>
          </w:p>
        </w:tc>
      </w:tr>
      <w:tr>
        <w:tc>
          <w:tcPr>
            <w:vAlign w:val="center"/>
          </w:tcPr>
          <w:p>
            <w:pPr>
              <w:pStyle w:val="MDPI42tablebody"/>
              <w:suppressAutoHyphens/>
              <w:jc w:val="center"/>
            </w:pPr>
            <w:r>
              <w:t xml:space="preserve">0.02</w:t>
            </w:r>
          </w:p>
        </w:tc>
        <w:tc>
          <w:tcPr>
            <w:vAlign w:val="center"/>
          </w:tcPr>
          <w:p>
            <w:pPr>
              <w:pStyle w:val="MDPI42tablebody"/>
              <w:suppressAutoHyphens/>
              <w:jc w:val="center"/>
            </w:pPr>
            <m:oMath>
              <m:r>
                <m:rPr>
                  <m:sty m:val="p"/>
                </m:rPr>
                <m:t>+</m:t>
              </m:r>
              <m:r>
                <m:t>4.11</m:t>
              </m:r>
            </m:oMath>
            <w:r>
              <w:t xml:space="preserve">​</w:t>
            </w:r>
          </w:p>
        </w:tc>
        <w:tc>
          <w:tcPr>
            <w:vAlign w:val="center"/>
          </w:tcPr>
          <w:p>
            <w:pPr>
              <w:pStyle w:val="MDPI42tablebody"/>
              <w:suppressAutoHyphens/>
              <w:jc w:val="center"/>
            </w:pPr>
            <w:r>
              <w:t xml:space="preserve">1.29</w:t>
            </w:r>
          </w:p>
        </w:tc>
        <w:tc>
          <w:tcPr>
            <w:vAlign w:val="center"/>
          </w:tcPr>
          <w:p>
            <w:pPr>
              <w:pStyle w:val="MDPI42tablebody"/>
              <w:suppressAutoHyphens/>
              <w:jc w:val="center"/>
            </w:pPr>
            <m:oMath>
              <m:r>
                <m:rPr>
                  <m:sty m:val="p"/>
                </m:rPr>
                <m:t>+</m:t>
              </m:r>
              <m:r>
                <m:t>4.47</m:t>
              </m:r>
            </m:oMath>
            <w:r>
              <w:t xml:space="preserve">​</w:t>
            </w:r>
          </w:p>
        </w:tc>
        <w:tc>
          <w:tcPr>
            <w:vAlign w:val="center"/>
          </w:tcPr>
          <w:p>
            <w:pPr>
              <w:pStyle w:val="MDPI42tablebody"/>
              <w:suppressAutoHyphens/>
              <w:jc w:val="center"/>
            </w:pPr>
            <m:oMath>
              <m:r>
                <m:rPr>
                  <m:sty m:val="p"/>
                </m:rPr>
                <m:t>+</m:t>
              </m:r>
              <m:r>
                <m:t>1.25</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0.05</w:t>
            </w:r>
          </w:p>
        </w:tc>
        <w:tc>
          <w:tcPr>
            <w:vAlign w:val="center"/>
          </w:tcPr>
          <w:p>
            <w:pPr>
              <w:pStyle w:val="MDPI42tablebody"/>
              <w:suppressAutoHyphens/>
              <w:jc w:val="center"/>
            </w:pPr>
            <m:oMath>
              <m:r>
                <m:rPr>
                  <m:sty m:val="p"/>
                </m:rPr>
                <m:t>+</m:t>
              </m:r>
              <m:r>
                <m:t>4.03</m:t>
              </m:r>
            </m:oMath>
            <w:r>
              <w:t xml:space="preserve">​</w:t>
            </w:r>
          </w:p>
        </w:tc>
        <w:tc>
          <w:tcPr>
            <w:vAlign w:val="center"/>
          </w:tcPr>
          <w:p>
            <w:pPr>
              <w:pStyle w:val="MDPI42tablebody"/>
              <w:suppressAutoHyphens/>
              <w:jc w:val="center"/>
            </w:pPr>
            <w:r>
              <w:t xml:space="preserve">2.06</w:t>
            </w:r>
          </w:p>
        </w:tc>
        <w:tc>
          <w:tcPr>
            <w:vAlign w:val="center"/>
          </w:tcPr>
          <w:p>
            <w:pPr>
              <w:pStyle w:val="MDPI42tablebody"/>
              <w:suppressAutoHyphens/>
              <w:jc w:val="center"/>
            </w:pPr>
            <m:oMath>
              <m:r>
                <m:rPr>
                  <m:sty m:val="p"/>
                </m:rPr>
                <m:t>+</m:t>
              </m:r>
              <m:r>
                <m:t>4.35</m:t>
              </m:r>
            </m:oMath>
            <w:r>
              <w:t xml:space="preserve">​</w:t>
            </w:r>
          </w:p>
        </w:tc>
        <w:tc>
          <w:tcPr>
            <w:vAlign w:val="center"/>
          </w:tcPr>
          <w:p>
            <w:pPr>
              <w:pStyle w:val="MDPI42tablebody"/>
              <w:suppressAutoHyphens/>
              <w:jc w:val="center"/>
            </w:pPr>
            <m:oMath>
              <m:r>
                <m:rPr>
                  <m:sty m:val="p"/>
                </m:rPr>
                <m:t>−</m:t>
              </m:r>
              <m:r>
                <m:t>1.19</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0.10</w:t>
            </w:r>
          </w:p>
        </w:tc>
        <w:tc>
          <w:tcPr>
            <w:vAlign w:val="center"/>
          </w:tcPr>
          <w:p>
            <w:pPr>
              <w:pStyle w:val="MDPI42tablebody"/>
              <w:suppressAutoHyphens/>
              <w:jc w:val="center"/>
            </w:pPr>
            <m:oMath>
              <m:r>
                <m:rPr>
                  <m:sty m:val="p"/>
                </m:rPr>
                <m:t>+</m:t>
              </m:r>
              <m:r>
                <m:t>2.96</m:t>
              </m:r>
            </m:oMath>
            <w:r>
              <w:t xml:space="preserve">​</w:t>
            </w:r>
          </w:p>
        </w:tc>
        <w:tc>
          <w:tcPr>
            <w:vAlign w:val="center"/>
          </w:tcPr>
          <w:p>
            <w:pPr>
              <w:pStyle w:val="MDPI42tablebody"/>
              <w:suppressAutoHyphens/>
              <w:jc w:val="center"/>
            </w:pPr>
            <w:r>
              <w:t xml:space="preserve">7.57</w:t>
            </w:r>
          </w:p>
        </w:tc>
        <w:tc>
          <w:tcPr>
            <w:vAlign w:val="center"/>
          </w:tcPr>
          <w:p>
            <w:pPr>
              <w:pStyle w:val="MDPI42tablebody"/>
              <w:suppressAutoHyphens/>
              <w:jc w:val="center"/>
            </w:pPr>
            <m:oMath>
              <m:r>
                <m:rPr>
                  <m:sty m:val="p"/>
                </m:rPr>
                <m:t>+</m:t>
              </m:r>
              <m:r>
                <m:t>5.40</m:t>
              </m:r>
            </m:oMath>
            <w:r>
              <w:t xml:space="preserve">​</w:t>
            </w:r>
          </w:p>
        </w:tc>
        <w:tc>
          <w:tcPr>
            <w:vAlign w:val="center"/>
          </w:tcPr>
          <w:p>
            <w:pPr>
              <w:pStyle w:val="MDPI42tablebody"/>
              <w:suppressAutoHyphens/>
              <w:jc w:val="center"/>
            </w:pPr>
            <m:oMath>
              <m:r>
                <m:rPr>
                  <m:sty m:val="p"/>
                </m:rPr>
                <m:t>−</m:t>
              </m:r>
              <m:r>
                <m:t>34.18</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0.15</w:t>
            </w:r>
          </w:p>
        </w:tc>
        <w:tc>
          <w:tcPr>
            <w:vAlign w:val="center"/>
          </w:tcPr>
          <w:p>
            <w:pPr>
              <w:pStyle w:val="MDPI42tablebody"/>
              <w:suppressAutoHyphens/>
              <w:jc w:val="center"/>
            </w:pPr>
            <m:oMath>
              <m:r>
                <m:rPr>
                  <m:sty m:val="p"/>
                </m:rPr>
                <m:t>−</m:t>
              </m:r>
              <m:r>
                <m:t>3.86</m:t>
              </m:r>
            </m:oMath>
            <w:r>
              <w:t xml:space="preserve">​</w:t>
            </w:r>
          </w:p>
        </w:tc>
        <w:tc>
          <w:tcPr>
            <w:vAlign w:val="center"/>
          </w:tcPr>
          <w:p>
            <w:pPr>
              <w:pStyle w:val="MDPI42tablebody"/>
              <w:suppressAutoHyphens/>
              <w:jc w:val="center"/>
            </w:pPr>
            <w:r>
              <w:t xml:space="preserve">14.27</w:t>
            </w:r>
          </w:p>
        </w:tc>
        <w:tc>
          <w:tcPr>
            <w:vAlign w:val="center"/>
          </w:tcPr>
          <w:p>
            <w:pPr>
              <w:pStyle w:val="MDPI42tablebody"/>
              <w:suppressAutoHyphens/>
              <w:jc w:val="center"/>
            </w:pPr>
            <m:oMath>
              <m:r>
                <m:rPr>
                  <m:sty m:val="p"/>
                </m:rPr>
                <m:t>+</m:t>
              </m:r>
              <m:r>
                <m:t>1.12</m:t>
              </m:r>
            </m:oMath>
            <w:r>
              <w:t xml:space="preserve">​</w:t>
            </w:r>
          </w:p>
        </w:tc>
        <w:tc>
          <w:tcPr>
            <w:vAlign w:val="center"/>
          </w:tcPr>
          <w:p>
            <w:pPr>
              <w:pStyle w:val="MDPI42tablebody"/>
              <w:suppressAutoHyphens/>
              <w:jc w:val="center"/>
            </w:pPr>
            <m:oMath>
              <m:r>
                <m:rPr>
                  <m:sty m:val="p"/>
                </m:rPr>
                <m:t>−</m:t>
              </m:r>
              <m:r>
                <m:t>42.87</m:t>
              </m:r>
            </m:oMath>
            <w:r>
              <w:t xml:space="preserve">​</w:t>
            </w:r>
          </w:p>
        </w:tc>
        <w:tc>
          <w:tcPr>
            <w:vAlign w:val="center"/>
          </w:tcPr>
          <w:p>
            <w:pPr>
              <w:pStyle w:val="MDPI42tablebody"/>
              <w:suppressAutoHyphens/>
              <w:jc w:val="center"/>
            </w:pPr>
            <w:r>
              <w:t xml:space="preserve">4/40</w:t>
            </w:r>
          </w:p>
        </w:tc>
      </w:tr>
      <w:tr>
        <w:tc>
          <w:tcPr>
            <w:vAlign w:val="center"/>
          </w:tcPr>
          <w:p>
            <w:pPr>
              <w:pStyle w:val="MDPI42tablebody"/>
              <w:suppressAutoHyphens/>
              <w:jc w:val="center"/>
            </w:pPr>
            <w:r>
              <w:t xml:space="preserve">0.20</w:t>
            </w:r>
          </w:p>
        </w:tc>
        <w:tc>
          <w:tcPr>
            <w:vAlign w:val="center"/>
          </w:tcPr>
          <w:p>
            <w:pPr>
              <w:pStyle w:val="MDPI42tablebody"/>
              <w:suppressAutoHyphens/>
              <w:jc w:val="center"/>
            </w:pPr>
            <m:oMath>
              <m:r>
                <m:rPr>
                  <m:sty m:val="p"/>
                </m:rPr>
                <m:t>−</m:t>
              </m:r>
              <m:r>
                <m:t>8.12</m:t>
              </m:r>
            </m:oMath>
            <w:r>
              <w:t xml:space="preserve">​</w:t>
            </w:r>
          </w:p>
        </w:tc>
        <w:tc>
          <w:tcPr>
            <w:vAlign w:val="center"/>
          </w:tcPr>
          <w:p>
            <w:pPr>
              <w:pStyle w:val="MDPI42tablebody"/>
              <w:suppressAutoHyphens/>
              <w:jc w:val="center"/>
            </w:pPr>
            <w:r>
              <w:t xml:space="preserve">18.39</w:t>
            </w:r>
          </w:p>
        </w:tc>
        <w:tc>
          <w:tcPr>
            <w:vAlign w:val="center"/>
          </w:tcPr>
          <w:p>
            <w:pPr>
              <w:pStyle w:val="MDPI42tablebody"/>
              <w:suppressAutoHyphens/>
              <w:jc w:val="center"/>
            </w:pPr>
            <m:oMath>
              <m:r>
                <m:rPr>
                  <m:sty m:val="p"/>
                </m:rPr>
                <m:t>−</m:t>
              </m:r>
              <m:r>
                <m:t>0.31</m:t>
              </m:r>
            </m:oMath>
            <w:r>
              <w:t xml:space="preserve">​</w:t>
            </w:r>
          </w:p>
        </w:tc>
        <w:tc>
          <w:tcPr>
            <w:vAlign w:val="center"/>
          </w:tcPr>
          <w:p>
            <w:pPr>
              <w:pStyle w:val="MDPI42tablebody"/>
              <w:suppressAutoHyphens/>
              <w:jc w:val="center"/>
            </w:pPr>
            <m:oMath>
              <m:r>
                <m:rPr>
                  <m:sty m:val="p"/>
                </m:rPr>
                <m:t>−</m:t>
              </m:r>
              <m:r>
                <m:t>42.16</m:t>
              </m:r>
            </m:oMath>
            <w:r>
              <w:t xml:space="preserve">​</w:t>
            </w:r>
          </w:p>
        </w:tc>
        <w:tc>
          <w:tcPr>
            <w:vAlign w:val="center"/>
          </w:tcPr>
          <w:p>
            <w:pPr>
              <w:pStyle w:val="MDPI42tablebody"/>
              <w:suppressAutoHyphens/>
              <w:jc w:val="center"/>
            </w:pPr>
            <w:r>
              <w:t xml:space="preserve">12/40</w:t>
            </w:r>
          </w:p>
        </w:tc>
      </w:tr>
      <w:tr>
        <w:tc>
          <w:tcPr>
            <w:vAlign w:val="center"/>
          </w:tcPr>
          <w:p>
            <w:pPr>
              <w:pStyle w:val="MDPI42tablebody"/>
              <w:suppressAutoHyphens/>
              <w:jc w:val="center"/>
            </w:pPr>
            <w:r>
              <w:t xml:space="preserve">Span</w:t>
            </w:r>
          </w:p>
        </w:tc>
        <w:tc>
          <w:tcPr>
            <w:vAlign w:val="center"/>
          </w:tcPr>
          <w:p>
            <w:pPr>
              <w:pStyle w:val="MDPI42tablebody"/>
              <w:suppressAutoHyphens/>
              <w:jc w:val="center"/>
            </w:pPr>
            <w:r>
              <w:t xml:space="preserve">12.24</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5.72</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r>
    </w:tbl>
    <w:bookmarkEnd w:id="67"/>
    <w:bookmarkStart w:id="71" w:name="fig:perturb"/>
    <w:p>
      <w:pPr>
        <w:pStyle w:val="MDPI52figure"/>
      </w:pPr>
      <w:r>
        <w:drawing>
          <wp:inline>
            <wp:extent cx="5703169"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703169" cy="2636341"/>
                    </a:xfrm>
                    <a:prstGeom prst="rect">
                      <a:avLst/>
                    </a:prstGeom>
                    <a:noFill/>
                    <a:ln w="9525">
                      <a:noFill/>
                      <a:headEnd/>
                      <a:tailEnd/>
                    </a:ln>
                  </pic:spPr>
                </pic:pic>
              </a:graphicData>
            </a:graphic>
          </wp:inline>
        </w:drawing>
      </w:r>
    </w:p>
    <w:p>
      <w:pPr>
        <w:pStyle w:val="MDPI51figurecaption"/>
      </w:pPr>
      <w:r>
        <w:rPr>
          <w:b/>
        </w:rPr>
        <w:t xml:space="preserve">Figure 4. </w:t>
      </w: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MDPI21heading1"/>
      </w:pPr>
      <w:r>
        <w:t xml:space="preserve">4. </w:t>
      </w:r>
      <w:r>
        <w:t xml:space="preserve">Discussion</w:t>
      </w:r>
    </w:p>
    <w:bookmarkStart w:id="74" w:name="sec:disc-mechanism"/>
    <w:p>
      <w:pPr>
        <w:pStyle w:val="MDPI22heading2"/>
      </w:pPr>
      <w:r>
        <w:t xml:space="preserve">4.1. </w:t>
      </w:r>
      <w:r>
        <w:t xml:space="preserve">Why physically motivated features can hurt, and why the damage is not</w:t>
      </w:r>
      <w:r>
        <w:t xml:space="preserve"> </w:t>
      </w:r>
      <w:r>
        <w:t xml:space="preserve">monotone in how many are added</w:t>
      </w:r>
    </w:p>
    <w:p>
      <w:pPr>
        <w:pStyle w:val="MDPI31text"/>
      </w:pPr>
      <w:r>
        <w:t xml:space="preserve">The physically motivated regressors used here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 radiation</w:t>
      </w:r>
      <w:r>
        <w:t xml:space="preserve"> </w:t>
      </w:r>
      <m:oMath>
        <m:r>
          <m:t>I</m:t>
        </m:r>
        <m:r>
          <m:rPr>
            <m:sty m:val="p"/>
          </m:rPr>
          <m:t>(</m:t>
        </m:r>
        <m:r>
          <m:t>1</m:t>
        </m:r>
        <m:r>
          <m:rPr>
            <m:sty m:val="p"/>
          </m:rPr>
          <m:t>−</m:t>
        </m:r>
        <m:sSub>
          <m:e>
            <m:r>
              <m:t>u</m:t>
            </m:r>
          </m:e>
          <m:sub>
            <m:r>
              <m:rPr>
                <m:sty m:val="p"/>
              </m:rPr>
              <m:t>ThScr</m:t>
            </m:r>
          </m:sub>
        </m:sSub>
        <m:r>
          <m:rPr>
            <m:sty m:val="p"/>
          </m:rPr>
          <m:t>)</m:t>
        </m:r>
      </m:oMath>
      <w:r>
        <w:t xml:space="preserve">) are algebraic functions of variables the raw</w:t>
      </w:r>
      <w:r>
        <w:t xml:space="preserve"> </w:t>
      </w:r>
      <w:r>
        <w:t xml:space="preserve">library already contains; they add no new excitation and are smooth, near-collinear</w:t>
      </w:r>
      <w:r>
        <w:t xml:space="preserve"> </w:t>
      </w:r>
      <w:r>
        <w:t xml:space="preserve">copies 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the ladder establishes a contrast between the extreme</w:t>
      </w:r>
      <w:r>
        <w:t xml:space="preserve"> </w:t>
      </w:r>
      <w:r>
        <w:t xml:space="preserve">points rather than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MDPI31text"/>
      </w:pPr>
      <w:r>
        <w:t xml:space="preserve">The open-loop conditioning pattern does not extend monotonically to closed-loop</w:t>
      </w:r>
      <w:r>
        <w:t xml:space="preserve"> </w:t>
      </w:r>
      <w:r>
        <w:t xml:space="preserve">economics. Under the one-factor closed-loop comparison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t xml:space="preserve">non-monotone in</w:t>
      </w:r>
      <w: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but is not a</w:t>
      </w:r>
      <w:r>
        <w:t xml:space="preserve"> </w:t>
      </w:r>
      <w:r>
        <w:t xml:space="preserve">sufficient explanation for the non-monotone closed-loop economics.</w:t>
      </w:r>
    </w:p>
    <w:p>
      <w:pPr>
        <w:pStyle w:val="MDPI31text"/>
      </w:pPr>
      <w:r>
        <w:t xml:space="preserve">The closed-loop ordering tracks whether the boiler term survives thresholding. The</w:t>
      </w:r>
      <w:r>
        <w:t xml:space="preserve"> </w:t>
      </w:r>
      <w:r>
        <w:t xml:space="preserve">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The mechanism we propose is that closed-loop margin depends on whether the pathway</w:t>
      </w:r>
      <w:r>
        <w:t xml:space="preserve"> </w:t>
      </w:r>
      <w:r>
        <w:t xml:space="preserve">through which an actuator reaches the controlled state survives sparsification,</w:t>
      </w:r>
      <w:r>
        <w:t xml:space="preserve"> </w:t>
      </w:r>
      <w:r>
        <w:t xml:space="preserve">independently of how well conditioned the regression is. A surrogate whose boiler</w:t>
      </w:r>
      <w:r>
        <w:t xml:space="preserve"> </w:t>
      </w:r>
      <w:r>
        <w:t xml:space="preserve">column has been thresholded away cannot be steered with the boiler, irrespective of</w:t>
      </w:r>
      <w:r>
        <w:t xml:space="preserve"> </w:t>
      </w:r>
      <w:r>
        <w:t xml:space="preserve">its one-step accuracy and of the conditioning of the fit that produced it.</w:t>
      </w:r>
    </w:p>
    <w:p>
      <w:pPr>
        <w:pStyle w:val="MDPI31text"/>
      </w:pPr>
      <w:r>
        <w:t xml:space="preserve">The controlled evidence for that mechanism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it is driven by a minority of replicates, so</w:t>
      </w:r>
      <w:r>
        <w:t xml:space="preserve"> </w:t>
      </w:r>
      <w:r>
        <w:t xml:space="preserve">both 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MDPI31text"/>
      </w:pPr>
      <w:r>
        <w:t xml:space="preserve">Survival determines which fits collapse but does not order the outcomes, as two</w:t>
      </w:r>
      <w:r>
        <w:t xml:space="preserve"> </w:t>
      </w:r>
      <w:r>
        <w:t xml:space="preserve">measurements show.</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and confounded with recipe, so we conservatively interpret</w:t>
      </w:r>
      <w:r>
        <w:t xml:space="preserve"> </w:t>
      </w:r>
      <w:r>
        <w:t xml:space="preserve">survival as marking which fits collapse rather than as measuring the whole library</w:t>
      </w:r>
      <w:r>
        <w:t xml:space="preserve"> </w:t>
      </w:r>
      <w:r>
        <w:t xml:space="preserve">effect.</w:t>
      </w:r>
    </w:p>
    <w:p>
      <w:pPr>
        <w:pStyle w:val="MDPI31text"/>
      </w:pPr>
      <w:r>
        <w:t xml:space="preserve">One plausible explanation for why the middle library is worse than both of its</w:t>
      </w:r>
      <w:r>
        <w:t xml:space="preserve"> </w:t>
      </w:r>
      <w:r>
        <w:t xml:space="preserve">neighbours is that the library without cross terms contains enough collinearity for</w:t>
      </w:r>
      <w:r>
        <w:t xml:space="preserve"> </w:t>
      </w:r>
      <w:r>
        <w:t xml:space="preserve">the threshold to destabilise the direct boiler term, but, unlike the full library, has</w:t>
      </w:r>
      <w:r>
        <w:t xml:space="preserve"> </w:t>
      </w:r>
      <w:r>
        <w:t xml:space="preserve">no bilinear</w:t>
      </w:r>
      <w:r>
        <w:t xml:space="preserve"> </w:t>
      </w:r>
      <m:oMath>
        <m:sSub>
          <m:e>
            <m:r>
              <m:t>T</m:t>
            </m:r>
          </m:e>
          <m:sub>
            <m:r>
              <m:rPr>
                <m:sty m:val="p"/>
              </m:rPr>
              <m:t>in</m:t>
            </m:r>
          </m:sub>
        </m:sSub>
        <m:sSub>
          <m:e>
            <m:r>
              <m:t>u</m:t>
            </m:r>
          </m:e>
          <m:sub>
            <m:r>
              <m:rPr>
                <m:sty m:val="p"/>
              </m:rPr>
              <m:t>Boil</m:t>
            </m:r>
          </m:sub>
        </m:sSub>
      </m:oMath>
      <w:r>
        <w:t xml:space="preserve"> </w:t>
      </w:r>
      <w:r>
        <w:t xml:space="preserve">term that can transmit the heating pathway</w:t>
      </w:r>
      <w:r>
        <w:t xml:space="preserve"> </w:t>
      </w:r>
      <w:r>
        <w:t xml:space="preserve">once the direct term is cut. On this account the full library has a detour and the</w:t>
      </w:r>
      <w:r>
        <w:t xml:space="preserve"> </w:t>
      </w:r>
      <w:r>
        <w:t xml:space="preserve">middle library has neither a stable direct term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MDPI31text"/>
      </w:pPr>
      <w:r>
        <w:t xml:space="preserve">The term-deletion test rejects this detour explanation. 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the only one of the four cross terms that touches the boiler, from the full physics candidate set gives a 17-feature library</w:t>
      </w:r>
      <w:r>
        <w:t xml:space="preserve"> </w:t>
      </w:r>
      <w:r>
        <w:t xml:space="preserve">that keeps 16 of 18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MDPI22heading2"/>
      </w:pPr>
      <w:r>
        <w:t xml:space="preserve">4.2. </w:t>
      </w:r>
      <w:r>
        <w:t xml:space="preserve">A cheap open-loop rule for selecting a control-oriented surrogate</w:t>
      </w:r>
    </w:p>
    <w:p>
      <w:pPr>
        <w:pStyle w:val="MDPI31text"/>
      </w:pPr>
      <w:r>
        <w:t xml:space="preserve">Three recommendations follow for practice. First, screen candidates open-loop on</w:t>
      </w:r>
      <w:r>
        <w:t xml:space="preserve"> </w:t>
      </w:r>
      <w:r>
        <w:t xml:space="preserve">(i) free-running multi-step rollout error at a horizon no shorter than the one the</w:t>
      </w:r>
      <w:r>
        <w:t xml:space="preserve"> </w:t>
      </w:r>
      <w:r>
        <w:t xml:space="preserve">model will be used at and (ii) the fraction of rollouts that diverge, both computed on</w:t>
      </w:r>
      <w:r>
        <w:t xml:space="preserve"> </w:t>
      </w:r>
      <w:r>
        <w:t xml:space="preserve">the identification data in seconds before any closed-loop season is simulated, and</w:t>
      </w:r>
      <w:r>
        <w:t xml:space="preserve"> </w:t>
      </w:r>
      <w:r>
        <w:t xml:space="preserve">keep one-step error out of the gate. The condition number belongs in the report as a</w:t>
      </w:r>
      <w:r>
        <w:t xml:space="preserve"> </w:t>
      </w:r>
      <w:r>
        <w:t xml:space="preserve">diagnostic but not in the ranking: it predicts (i) and (ii) accurately and closed-loop</w:t>
      </w:r>
      <w:r>
        <w:t xml:space="preserve"> </w:t>
      </w:r>
      <w:r>
        <w:t xml:space="preserve">margin not at all (Section </w:t>
      </w:r>
      <w:hyperlink w:anchor="sec:disc-mechanism">
        <w:r>
          <w:rPr>
            <w:rStyle w:val="Hyperlink"/>
          </w:rPr>
          <w:t xml:space="preserve">4.1</w:t>
        </w:r>
      </w:hyperlink>
      <w:r>
        <w:t xml:space="preserve">). Our screen used a 96-step</w:t>
      </w:r>
      <w:r>
        <w:t xml:space="preserve"> </w:t>
      </w:r>
      <w:r>
        <w:t xml:space="preserve">(24 h) rollout against a 20-step (5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applied open-loop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MDPI31text"/>
      </w:pPr>
      <w:r>
        <w:t xml:space="preserve">Three libraries give that claim limited resolution. Over the series, the screen</w:t>
      </w:r>
      <w:r>
        <w:t xml:space="preserve"> </w:t>
      </w:r>
      <w:r>
        <w:t xml:space="preserve">identifies the closed-loop winner and one-step accuracy ranks that same winner last,</w:t>
      </w:r>
      <w:r>
        <w:t xml:space="preserve"> </w:t>
      </w:r>
      <w:r>
        <w:t xml:space="preserve">but neither open-loop criterion reproduces the full closed-loop ordering, because</w:t>
      </w:r>
      <w:r>
        <w:t xml:space="preserve"> </w:t>
      </w:r>
      <w:r>
        <w:t xml:space="preserve">rollout error places full physics third where the closed loop places it second. The</w:t>
      </w:r>
      <w:r>
        <w:t xml:space="preserve"> </w:t>
      </w:r>
      <w:r>
        <w:t xml:space="preserve">evidence therefore establishes the choice of the top candidate and the rejection of</w:t>
      </w:r>
      <w:r>
        <w:t xml:space="preserve"> </w:t>
      </w:r>
      <w:r>
        <w:t xml:space="preserve">one-step accuracy as a selection criterion, without establishing a rank correlation</w:t>
      </w:r>
      <w:r>
        <w:t xml:space="preserve"> </w:t>
      </w:r>
      <w:r>
        <w:t xml:space="preserve">across the series.</w:t>
      </w:r>
    </w:p>
    <w:p>
      <w:pPr>
        <w:pStyle w:val="MDPI31text"/>
      </w:pPr>
      <w:r>
        <w:t xml:space="preserve">Second, after sparsification, read the fitted coefficient matrix and confirm that</w:t>
      </w:r>
      <w:r>
        <w:t xml:space="preserve"> </w:t>
      </w:r>
      <w:r>
        <w:t xml:space="preserve">every actuator the controller is allowed to move still has a surviving path to the</w:t>
      </w:r>
      <w:r>
        <w:t xml:space="preserve"> </w:t>
      </w:r>
      <w:r>
        <w:t xml:space="preserve">states it is meant to move; the new mechanism makes this check necessary. The check</w:t>
      </w:r>
      <w:r>
        <w:t xml:space="preserve"> </w:t>
      </w:r>
      <w:r>
        <w:t xml:space="preserve">costs nothing (it inspects numbers already computed), and it is the variable the</w:t>
      </w:r>
      <w:r>
        <w:t xml:space="preserve"> </w:t>
      </w:r>
      <w:r>
        <w:t xml:space="preserve">closed loop turned 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recovered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MDPI31text"/>
      </w:pPr>
      <w:r>
        <w:t xml:space="preserve">Two qualifications apply. The ladder’s rollout value ranks candidates against one</w:t>
      </w:r>
      <w:r>
        <w:t xml:space="preserve"> </w:t>
      </w:r>
      <w:r>
        <w:t xml:space="preserve">another and does not specify the error a controller will see along its own closed-loop</w:t>
      </w:r>
      <w:r>
        <w:t xml:space="preserve"> </w:t>
      </w:r>
      <w:r>
        <w:t xml:space="preserve">trajectory: along the full-model planner’s own trajectory the same frozen recipe</w:t>
      </w:r>
      <w:r>
        <w:t xml:space="preserve"> </w:t>
      </w:r>
      <w:r>
        <w:t xml:space="preserve">predicts indoor temperature to</w:t>
      </w:r>
      <w:r>
        <w:t xml:space="preserve"> </w:t>
      </w:r>
      <m:oMath>
        <m:r>
          <m:t>2.62</m:t>
        </m:r>
      </m:oMath>
      <w:r>
        <w:t xml:space="preserve"> °C at 24 h, four times better than</w:t>
      </w:r>
      <w:r>
        <w:t xml:space="preserve"> </w:t>
      </w:r>
      <w:r>
        <w:t xml:space="preserve">the</w:t>
      </w:r>
      <w:r>
        <w:t xml:space="preserve"> </w:t>
      </w:r>
      <m:oMath>
        <m:r>
          <m:t>10.50</m:t>
        </m:r>
      </m:oMath>
      <w:r>
        <w:t xml:space="preserve"> °C it scores on PRBS-excited identification data.</w:t>
      </w:r>
      <w:r>
        <w:t xml:space="preserve"> </w:t>
      </w:r>
      <w:r>
        <w:t xml:space="preserve">The ordering is identical in-sample and held-out, but in the held-out block the</w:t>
      </w:r>
      <w:r>
        <w:t xml:space="preserve"> </w:t>
      </w:r>
      <w:r>
        <w:t xml:space="preserve">dominant factor is the evaluation year. The physics library without cross terms</w:t>
      </w:r>
      <w:r>
        <w:t xml:space="preserve"> </w:t>
      </w:r>
      <w:r>
        <w:t xml:space="preserve">scores a median rollout error of</w:t>
      </w:r>
      <w:r>
        <w:t xml:space="preserve"> </w:t>
      </w:r>
      <m:oMath>
        <m:r>
          <m:t>16.9</m:t>
        </m:r>
      </m:oMath>
      <w:r>
        <w:t xml:space="preserve"> °C evaluated on 2018 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The held-out block therefore supports the claim that the raw</w:t>
      </w:r>
      <w:r>
        <w:t xml:space="preserve"> </w:t>
      </w:r>
      <w:r>
        <w:t xml:space="preserve">library is stable regardless of evaluation year while the physics libraries are</w:t>
      </w:r>
      <w:r>
        <w:t xml:space="preserve"> </w:t>
      </w:r>
      <w:r>
        <w:t xml:space="preserve">year-dependent.</w:t>
      </w:r>
    </w:p>
    <w:p>
      <w:pPr>
        <w:pStyle w:val="MDPI31text"/>
      </w:pPr>
      <w:r>
        <w:t xml:space="preserve">Third, do not treat a basis function’s physical motivation as evidence that it</w:t>
      </w:r>
      <w:r>
        <w:t xml:space="preserve"> </w:t>
      </w:r>
      <w:r>
        <w:t xml:space="preserve">belongs in the library. Every feature added here is an algebraic function of columns</w:t>
      </w:r>
      <w:r>
        <w:t xml:space="preserve"> </w:t>
      </w:r>
      <w:r>
        <w:t xml:space="preserve">already present, and the two groups in</w:t>
      </w:r>
      <w:r>
        <w:t xml:space="preserve"> </w:t>
      </w:r>
      <w:r>
        <w:t xml:space="preserve">which they were added both cost multi-step stability: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while neither group reaches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small number of physically sensible</w:t>
      </w:r>
      <w:r>
        <w:t xml:space="preserve"> </w:t>
      </w:r>
      <w:r>
        <w:t xml:space="preserve">additions does not imply a small cost. We cannot say which individual feature is</w:t>
      </w:r>
      <w:r>
        <w:t xml:space="preserve"> </w:t>
      </w:r>
      <w:r>
        <w:t xml:space="preserve">responsible for anything: they entered in two groups of three and four, and the only</w:t>
      </w:r>
      <w:r>
        <w:t xml:space="preserve"> </w:t>
      </w:r>
      <w:r>
        <w:t xml:space="preserve">single-feature deletion tested was that of the bilinear</w:t>
      </w:r>
      <w:r>
        <w:t xml:space="preserve"> </w:t>
      </w:r>
      <m:oMath>
        <m:sSub>
          <m:e>
            <m:r>
              <m:t>T</m:t>
            </m:r>
          </m:e>
          <m:sub>
            <m:r>
              <m:rPr>
                <m:sty m:val="p"/>
              </m:rPr>
              <m:t>in</m:t>
            </m:r>
          </m:sub>
        </m:sSub>
        <m:sSub>
          <m:e>
            <m:r>
              <m:t>u</m:t>
            </m:r>
          </m:e>
          <m:sub>
            <m:r>
              <m:rPr>
                <m:sty m:val="p"/>
              </m:rPr>
              <m:t>Boil</m:t>
            </m:r>
          </m:sub>
        </m:sSub>
      </m:oMath>
      <w:r>
        <w:t xml:space="preserve"> </w:t>
      </w:r>
      <w:r>
        <w:t xml:space="preserve">term. A physically motivated feature should be entered as a candidate in the ladder</w:t>
      </w:r>
      <w:r>
        <w:t xml:space="preserve"> </w:t>
      </w:r>
      <w:r>
        <w:t xml:space="preserve">and then judged by the open-loop screen like any other candidate.</w:t>
      </w:r>
    </w:p>
    <w:bookmarkEnd w:id="75"/>
    <w:bookmarkStart w:id="76" w:name="sec:disc-sparsity"/>
    <w:p>
      <w:pPr>
        <w:pStyle w:val="MDPI22heading2"/>
      </w:pPr>
      <w:r>
        <w:t xml:space="preserve">4.3. </w:t>
      </w:r>
      <w:r>
        <w:t xml:space="preserve">Sparsity and the library effect</w:t>
      </w:r>
    </w:p>
    <w:p>
      <w:pPr>
        <w:pStyle w:val="MDPI31text"/>
      </w:pPr>
      <w:r>
        <w:t xml:space="preserve">The winner is the sparser model on both counts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13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support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 of the three</w:t>
      </w:r>
      <w:r>
        <w:t xml:space="preserve"> </w:t>
      </w:r>
      <w:r>
        <w:t xml:space="preserve">is the middle library, which is neither the sparsest nor the least sparse.</w:t>
      </w:r>
      <w:r>
        <w:t xml:space="preserve"> </w:t>
      </w:r>
      <w:r>
        <w:t xml:space="preserve">The term count does not order performance in either direction, whereas the basis</w:t>
      </w:r>
      <w:r>
        <w:t xml:space="preserve"> </w:t>
      </w:r>
      <w:r>
        <w:t xml:space="preserve">does. The two raw-library variants, bagged ensemble and plain sequential thresholded</w:t>
      </w:r>
      <w:r>
        <w:t xml:space="preserve"> </w:t>
      </w:r>
      <w:r>
        <w:t xml:space="preserve">least squares,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and does not</w:t>
      </w:r>
      <w:r>
        <w:t xml:space="preserve"> </w:t>
      </w:r>
      <w:r>
        <w:t xml:space="preserve">demonstrate equivalence; the mean gap is not negligible, and at</w:t>
      </w:r>
      <w:r>
        <w:t xml:space="preserve"> </w:t>
      </w:r>
      <m:oMath>
        <m:r>
          <m:t>n</m:t>
        </m:r>
        <m:r>
          <m:rPr>
            <m:sty m:val="p"/>
          </m:rPr>
          <m:t>=</m:t>
        </m:r>
        <m:r>
          <m:t>80</m:t>
        </m:r>
      </m:oMath>
      <w:r>
        <w:t xml:space="preserve"> </w:t>
      </w:r>
      <w:r>
        <w:t xml:space="preserve">its dispersion</w:t>
      </w:r>
      <w:r>
        <w:t xml:space="preserve"> </w:t>
      </w:r>
      <w:r>
        <w:t xml:space="preserve">is too large to establish it.</w:t>
      </w:r>
    </w:p>
    <w:bookmarkEnd w:id="76"/>
    <w:bookmarkStart w:id="77" w:name="sec:disc-defects"/>
    <w:p>
      <w:pPr>
        <w:pStyle w:val="MDPI22heading2"/>
      </w:pPr>
      <w:r>
        <w:t xml:space="preserve">4.4. </w:t>
      </w:r>
      <w:r>
        <w:t xml:space="preserve">Sensitivity to baseline tuning and economic weighting</w:t>
      </w:r>
    </w:p>
    <w:p>
      <w:pPr>
        <w:pStyle w:val="MDPI31text"/>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MDPI31text"/>
      </w:pPr>
      <w:r>
        <w:t xml:space="preserve">Searching the heuristic’s four economically relevant setpoints under the budget assigned</w:t>
      </w:r>
      <w:r>
        <w:t xml:space="preserve"> </w:t>
      </w:r>
      <w:r>
        <w:t xml:space="preserve">to the reinforcement-learning agents (16 random trials, selection on the training years only)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15.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so the stock configuration sat</w:t>
      </w:r>
      <w:r>
        <w:t xml:space="preserve"> </w:t>
      </w:r>
      <w:r>
        <w:t xml:space="preserve">at the 88th percentile of its own search space and was a credible agronomic baseline</w:t>
      </w:r>
      <w:r>
        <w:t xml:space="preserve"> </w:t>
      </w:r>
      <w:r>
        <w:t xml:space="preserve">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MDPI31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A</w:t>
      </w:r>
      <w:r>
        <w:t xml:space="preserve"> </w:t>
      </w:r>
      <w:r>
        <w:t xml:space="preserve">greenhouse-controller benchmark should nevertheless use a tuned agronomic reference and</w:t>
      </w:r>
      <w:r>
        <w:t xml:space="preserve"> </w:t>
      </w:r>
      <w:r>
        <w:t xml:space="preserve">site-relevant energy and CO</w:t>
      </w:r>
      <m:oMath>
        <m:sSub>
          <m:e>
            <m:r>
              <m:t>​</m:t>
            </m:r>
          </m:e>
          <m:sub>
            <m:r>
              <m:t>2</m:t>
            </m:r>
          </m:sub>
        </m:sSub>
      </m:oMath>
      <w:r>
        <w:t xml:space="preserve"> </w:t>
      </w:r>
      <w:r>
        <w:t xml:space="preserve">prices before attributing an economic difference to the</w:t>
      </w:r>
      <w:r>
        <w:t xml:space="preserve"> </w:t>
      </w:r>
      <w:r>
        <w:t xml:space="preserve">surrogate model class.</w:t>
      </w:r>
    </w:p>
    <w:bookmarkEnd w:id="77"/>
    <w:bookmarkStart w:id="78" w:name="sec:disc-related"/>
    <w:p>
      <w:pPr>
        <w:pStyle w:val="MDPI22heading2"/>
      </w:pPr>
      <w:r>
        <w:t xml:space="preserve">4.5. </w:t>
      </w:r>
      <w:r>
        <w:t xml:space="preserve">Relation to prior work</w:t>
      </w:r>
    </w:p>
    <w:p>
      <w:pPr>
        <w:pStyle w:val="MDPI31text"/>
      </w:pPr>
      <w:r>
        <w:t xml:space="preserve">The finding instantiates the identification-for-control programme (model quality cannot be judged independently of the control task the model serves  [18–20,25,46])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within one model class.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w:t>
      </w:r>
      <w:r>
        <w:t xml:space="preserve"> </w:t>
      </w:r>
      <m:oMath>
        <m:r>
          <m:t>κ</m:t>
        </m:r>
      </m:oMath>
      <w:r>
        <w:t xml:space="preserve"> </w:t>
      </w:r>
      <w:r>
        <w:t xml:space="preserve">orders multi-step stability in every</w:t>
      </w:r>
      <w:r>
        <w:t xml:space="preserve"> </w:t>
      </w:r>
      <w:r>
        <w:t xml:space="preserve">case measured here. We do not find the further step from conditioning to closed-loop</w:t>
      </w:r>
      <w:r>
        <w:t xml:space="preserve"> </w:t>
      </w:r>
      <w:r>
        <w:t xml:space="preserve">economics; the ordering breaks there (Section </w:t>
      </w:r>
      <w:hyperlink w:anchor="sec:disc-mechanism">
        <w:r>
          <w:rPr>
            <w:rStyle w:val="Hyperlink"/>
          </w:rPr>
          <w:t xml:space="preserve">4.1</w:t>
        </w:r>
      </w:hyperlink>
      <w:r>
        <w:t xml:space="preserve">). Library</w:t>
      </w:r>
      <w:r>
        <w:t xml:space="preserve"> </w:t>
      </w:r>
      <w:r>
        <w:t xml:space="preserve">design remains important, and it has to be scored on the quantity the controller</w:t>
      </w:r>
      <w:r>
        <w:t xml:space="preserve"> </w:t>
      </w:r>
      <w:r>
        <w:t xml:space="preserve">uses; library optimisation scored by recursive long-term</w:t>
      </w:r>
      <w:r>
        <w:t xml:space="preserve"> </w:t>
      </w:r>
      <w:r>
        <w:t xml:space="preserve">prediction  [17] reaches the same conclusion by a different route.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MDPI31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im-Đuri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MDPI22heading2"/>
      </w:pPr>
      <w:r>
        <w:t xml:space="preserve">4.6. </w:t>
      </w:r>
      <w:r>
        <w:t xml:space="preserve">Limitations</w:t>
      </w:r>
    </w:p>
    <w:p>
      <w:pPr>
        <w:pStyle w:val="MDPI31text"/>
      </w:pPr>
      <w:r>
        <w:t xml:space="preserve">The main limitation is that there is no physical-greenhouse validation. Every climate</w:t>
      </w:r>
      <w:r>
        <w:t xml:space="preserve"> </w:t>
      </w:r>
      <w:r>
        <w:t xml:space="preserve">trajectory, crop response, resource use and margin is generated by GreenLight under</w:t>
      </w:r>
      <w:r>
        <w:t xml:space="preserve"> </w:t>
      </w:r>
      <w:r>
        <w:t xml:space="preserve">ERA5-derived weather. The published evaluation of GreenLight supports its use as a common</w:t>
      </w:r>
      <w:r>
        <w:t xml:space="preserve"> </w:t>
      </w:r>
      <w:r>
        <w:t xml:space="preserve">testbed, but does not validate the controllers developed here, and the comparison excludes</w:t>
      </w:r>
      <w:r>
        <w:t xml:space="preserve"> </w:t>
      </w:r>
      <w:r>
        <w:t xml:space="preserve">unmodelled sensor bias, actuator wear and delay, crop heterogeneity, pests and disease, and</w:t>
      </w:r>
      <w:r>
        <w:t xml:space="preserve"> </w:t>
      </w:r>
      <w:r>
        <w:t xml:space="preserve">operational intervention by growers. Absolute EUR m</w:t>
      </w:r>
      <m:oMath>
        <m:sSup>
          <m:e>
            <m:r>
              <m:t>​</m:t>
            </m:r>
          </m:e>
          <m:sup>
            <m:r>
              <m:rPr>
                <m:sty m:val="p"/>
              </m:rPr>
              <m:t>−</m:t>
            </m:r>
            <m:r>
              <m:t>2</m:t>
            </m:r>
          </m:sup>
        </m:sSup>
      </m:oMath>
      <w:r>
        <w:t xml:space="preserve"> </w:t>
      </w:r>
      <w:r>
        <w:t xml:space="preserve">values should therefore be read</w:t>
      </w:r>
      <w:r>
        <w:t xml:space="preserve"> </w:t>
      </w:r>
      <w:r>
        <w:t xml:space="preserve">as outputs of the virtual experiment; only comparative behaviour within the stated model</w:t>
      </w:r>
      <w:r>
        <w:t xml:space="preserve"> </w:t>
      </w:r>
      <w:r>
        <w:t xml:space="preserve">and price assumptions is established. Hardware-in-the-loop testing followed by a greenhouse</w:t>
      </w:r>
      <w:r>
        <w:t xml:space="preserve"> </w:t>
      </w:r>
      <w:r>
        <w:t xml:space="preserve">pilot with independently measured climate, energy use and marketable yield is required</w:t>
      </w:r>
      <w:r>
        <w:t xml:space="preserve"> </w:t>
      </w:r>
      <w:r>
        <w:t xml:space="preserve">before deployment. The virtual experiment is itself narrow in scope: one location, one</w:t>
      </w:r>
      <w:r>
        <w:t xml:space="preserve"> </w:t>
      </w:r>
      <w:r>
        <w:t xml:space="preserve">planting date, one crop model and one weather source are represented, and no recursive</w:t>
      </w:r>
      <w:r>
        <w:t xml:space="preserve"> </w:t>
      </w:r>
      <w:r>
        <w:t xml:space="preserve">feasibility or stability guarantee is claimed or proved  [4]. The ranking is</w:t>
      </w:r>
      <w:r>
        <w:t xml:space="preserve"> </w:t>
      </w:r>
      <w:r>
        <w:t xml:space="preserve">also not price-invariant, since two different controllers win across a nine-point grid of</w:t>
      </w:r>
      <w:r>
        <w:t xml:space="preserve"> </w:t>
      </w:r>
      <w:r>
        <w:t xml:space="preserve">fruit and energy prices, although that grid re-scores rather than re-optimises and contains</w:t>
      </w:r>
      <w:r>
        <w:t xml:space="preserve"> </w:t>
      </w:r>
      <w:r>
        <w:t xml:space="preserve">neither raw-library controller, so it does not test the ranking reported here.</w:t>
      </w:r>
    </w:p>
    <w:p>
      <w:pPr>
        <w:pStyle w:val="MDPI31text"/>
      </w:pPr>
      <w:r>
        <w:t xml:space="preserve">The MPC objective is necessarily a proxy,</w:t>
      </w:r>
      <w:r>
        <w:t xml:space="preserve"> </w:t>
      </w:r>
      <w:r>
        <w:t xml:space="preserve">because the surrogate has no crop state: revenue cannot be predicted and terminal biomass</w:t>
      </w:r>
      <w:r>
        <w:t xml:space="preserve"> </w:t>
      </w:r>
      <w:r>
        <w:t xml:space="preserve">cannot be priced, which is structural to the model class and blocks the natural</w:t>
      </w:r>
      <w:r>
        <w:t xml:space="preserve"> </w:t>
      </w:r>
      <w:r>
        <w:t xml:space="preserve">terminal-cost formulation. The raw-library advantage is, in addition, not Pareto-dominant,</w:t>
      </w:r>
      <w:r>
        <w:t xml:space="preserve"> </w:t>
      </w:r>
      <w:r>
        <w:t xml:space="preserve">because five controllers hold the 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so superiority is conditional on how a grower</w:t>
      </w:r>
      <w:r>
        <w:t xml:space="preserve"> </w:t>
      </w:r>
      <w:r>
        <w:t xml:space="preserve">weights margin against corridor excursions.</w:t>
      </w:r>
    </w:p>
    <w:p>
      <w:pPr>
        <w:pStyle w:val="MDPI31text"/>
      </w:pPr>
      <w:r>
        <w:t xml:space="preserve">The statistical treatment has its own caveats. The tuned-heuristic comparison is not a</w:t>
      </w:r>
      <w:r>
        <w:t xml:space="preserve"> </w:t>
      </w:r>
      <w:r>
        <w:t xml:space="preserve">paired test, because the heuristic is deterministic and ran once per season, so its value</w:t>
      </w:r>
      <w:r>
        <w:t xml:space="preserve"> </w:t>
      </w:r>
      <w:r>
        <w:t xml:space="preserve">is a constant reused across replicates and has no sampling uncertainty, and the</w:t>
      </w:r>
      <w:r>
        <w:t xml:space="preserve"> </w:t>
      </w:r>
      <m:oMath>
        <m:r>
          <m:rPr>
            <m:sty m:val="p"/>
          </m:rPr>
          <m:t>+</m:t>
        </m:r>
        <m:r>
          <m:t>2.06</m:t>
        </m:r>
      </m:oMath>
      <w:r>
        <w:t xml:space="preserve"> </w:t>
      </w:r>
      <w:r>
        <w:t xml:space="preserve">above is a one-sample signed-rank test against that constant (Section </w:t>
      </w:r>
      <w:hyperlink w:anchor="sec:stats">
        <w:r>
          <w:rPr>
            <w:rStyle w:val="Hyperlink"/>
          </w:rPr>
          <w:t xml:space="preserve">2.8</w:t>
        </w:r>
      </w:hyperlink>
      <w:r>
        <w:t xml:space="preserve">). A</w:t>
      </w:r>
      <w:r>
        <w:t xml:space="preserve"> </w:t>
      </w:r>
      <w:r>
        <w:t xml:space="preserve">true paired test collapses 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w:t>
      </w:r>
      <w:r>
        <w:t xml:space="preserve"> </w:t>
      </w:r>
      <w:r>
        <w:t xml:space="preserve">where the 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r>
        <w:t xml:space="preserve"> </w:t>
      </w:r>
      <w:r>
        <w:t xml:space="preserve">The run-level tests also treat the four seasons of one replicate as independent, although</w:t>
      </w:r>
      <w:r>
        <w:t xml:space="preserve"> </w:t>
      </w:r>
      <w:r>
        <w:t xml:space="preserve">they share one identified surrogate; the seed-level repetition of Table </w:t>
      </w:r>
      <w:hyperlink w:anchor="tab:wilcoxon">
        <w:r>
          <w:rPr>
            <w:rStyle w:val="Hyperlink"/>
          </w:rPr>
          <w:t xml:space="preserve">7</w:t>
        </w:r>
      </w:hyperlink>
      <w:r>
        <w:t xml:space="preserve"> </w:t>
      </w:r>
      <w:r>
        <w:t xml:space="preserve">shows what that costs. The headline library contrast and the one-factor contrasts survive</w:t>
      </w:r>
      <w:r>
        <w:t xml:space="preserve"> </w:t>
      </w:r>
      <w:r>
        <w:t xml:space="preserve">it, and so does the raw-library lead over the tuned heuristic, but the two low-threshold</w:t>
      </w:r>
      <w:r>
        <w:t xml:space="preserve"> </w:t>
      </w:r>
      <w:r>
        <w:rPr>
          <w:rStyle w:val="VerbatimChar"/>
        </w:rPr>
        <w:t xml:space="preserve">physics_no_cross</w:t>
      </w:r>
      <w:r>
        <w:t xml:space="preserve"> </w:t>
      </w:r>
      <w:r>
        <w:t xml:space="preserve">variants are no longer separable from the heuristic on 20</w:t>
      </w:r>
      <w:r>
        <w:t xml:space="preserve"> </w:t>
      </w:r>
      <w:r>
        <w:t xml:space="preserve">per-seed means, and the frozen recipe and the re-identified dense variant are no longer</w:t>
      </w:r>
      <w:r>
        <w:t xml:space="preserve"> </w:t>
      </w:r>
      <w:r>
        <w:t xml:space="preserve">separably below it, so the count of controllers that beat the tuned reference is four at</w:t>
      </w:r>
      <w:r>
        <w:t xml:space="preserve"> </w:t>
      </w:r>
      <w:r>
        <w:t xml:space="preserve">run level and two at the level of independent surrogates.</w:t>
      </w:r>
      <w:r>
        <w:t xml:space="preserve"> </w:t>
      </w:r>
      <w:r>
        <w:t xml:space="preserve">Statistical significance, in turn, does not measure effect size. Two physics-informed</w:t>
      </w:r>
      <w:r>
        <w:t xml:space="preserve"> </w:t>
      </w:r>
      <w:r>
        <w:t xml:space="preserve">variants 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w:t>
      </w:r>
      <w:r>
        <w:t xml:space="preserve"> </w:t>
      </w:r>
      <w:r>
        <w:t xml:space="preserve">Holm corrections are over a declared family of 15 controllers; a different declaration</w:t>
      </w:r>
      <w:r>
        <w:t xml:space="preserve"> </w:t>
      </w:r>
      <w:r>
        <w:t xml:space="preserve">would move them. Adding the two full-</w:t>
      </w:r>
      <w:r>
        <w:rPr>
          <w:rStyle w:val="VerbatimChar"/>
        </w:rPr>
        <w:t xml:space="preserve">physics</w:t>
      </w:r>
      <w:r>
        <w:t xml:space="preserve"> </w:t>
      </w:r>
      <w:r>
        <w:t xml:space="preserve">controllers enlarged the family from</w:t>
      </w:r>
      <w:r>
        <w:t xml:space="preserve"> </w:t>
      </w:r>
      <w:r>
        <w:t xml:space="preserve">13 to 15 and moved every corrected level of Table </w:t>
      </w:r>
      <w:hyperlink w:anchor="tab:wilcoxon">
        <w:r>
          <w:rPr>
            <w:rStyle w:val="Hyperlink"/>
          </w:rPr>
          <w:t xml:space="preserve">7</w:t>
        </w:r>
      </w:hyperlink>
      <w:r>
        <w:t xml:space="preserve"> </w:t>
      </w:r>
      <w:r>
        <w:t xml:space="preserve">without any</w:t>
      </w:r>
      <w:r>
        <w:t xml:space="preserve"> </w:t>
      </w:r>
      <w:r>
        <w:t xml:space="preserve">controller crossing</w:t>
      </w:r>
      <w:r>
        <w:t xml:space="preserve"> </w:t>
      </w:r>
      <m:oMath>
        <m:r>
          <m:t>0.05</m:t>
        </m:r>
      </m:oMath>
      <w:r>
        <w:t xml:space="preserve">: the raw-library ensemble against 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 physics-informed variant against</w:t>
      </w:r>
      <w:r>
        <w:t xml:space="preserve"> </w:t>
      </w:r>
      <w:r>
        <w:t xml:space="preserve">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The paired raw-versus-physics contrast</w:t>
      </w:r>
      <w:r>
        <w:t xml:space="preserve"> </w:t>
      </w:r>
      <w:r>
        <w:t xml:space="preserve">of Section </w:t>
      </w:r>
      <w:hyperlink w:anchor="sec:res-main">
        <w:r>
          <w:rPr>
            <w:rStyle w:val="Hyperlink"/>
          </w:rPr>
          <w:t xml:space="preserve">3.3</w:t>
        </w:r>
      </w:hyperlink>
      <w:r>
        <w:t xml:space="preserve"> </w:t>
      </w:r>
      <w:r>
        <w:t xml:space="preserve">is unaffected and remains at</w:t>
      </w:r>
      <w:r>
        <w:t xml:space="preserve"> </w:t>
      </w:r>
      <m:oMath>
        <m:r>
          <m:t>7.7</m:t>
        </m:r>
        <m:r>
          <m:rPr>
            <m:sty m:val="p"/>
          </m:rPr>
          <m:t>×</m:t>
        </m:r>
        <m:sSup>
          <m:e>
            <m:r>
              <m:t>10</m:t>
            </m:r>
          </m:e>
          <m:sup>
            <m:r>
              <m:rPr>
                <m:sty m:val="p"/>
              </m:rPr>
              <m:t>−</m:t>
            </m:r>
            <m:r>
              <m:t>4</m:t>
            </m:r>
          </m:sup>
        </m:sSup>
      </m:oMath>
      <w:r>
        <w:t xml:space="preserve"> </w:t>
      </w:r>
      <w:r>
        <w:t xml:space="preserve">under both</w:t>
      </w:r>
      <w:r>
        <w:t xml:space="preserve"> </w:t>
      </w:r>
      <w:r>
        <w:t xml:space="preserve">families, because enlarging the family moved nothing below it. Coverage across controllers</w:t>
      </w:r>
      <w:r>
        <w:t xml:space="preserve"> </w:t>
      </w:r>
      <w:r>
        <w:t xml:space="preserve">and seasons is also uneven. The neural-network MPC has 10 replicates and 40 runs against</w:t>
      </w:r>
      <w:r>
        <w:t xml:space="preserve"> </w:t>
      </w:r>
      <w:r>
        <w:t xml:space="preserve">20 and 80 elsewhere, 14 of them terminating early. The full-model planner has no 2022 season (all 20</w:t>
      </w:r>
      <w:r>
        <w:t xml:space="preserve"> </w:t>
      </w:r>
      <w:r>
        <w:t xml:space="preserve">runs exhausted the solver-failure budget), but that is an artefact: at a thousandfold</w:t>
      </w:r>
      <w:r>
        <w:t xml:space="preserve"> </w:t>
      </w:r>
      <w:r>
        <w:t xml:space="preserve">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 imputed four-season value is</w:t>
      </w:r>
      <w:r>
        <w:t xml:space="preserve"> </w:t>
      </w:r>
      <m:oMath>
        <m:r>
          <m:rPr>
            <m:sty m:val="p"/>
          </m:rPr>
          <m:t>≈</m:t>
        </m:r>
        <m:r>
          <m:rPr>
            <m:sty m:val="p"/>
          </m:rPr>
          <m:t>−</m:t>
        </m:r>
        <m:r>
          <m:t>2.20</m:t>
        </m:r>
      </m:oMath>
      <w:r>
        <w:t xml:space="preserve">. One front</w:t>
      </w:r>
      <w:r>
        <w:t xml:space="preserve"> </w:t>
      </w:r>
      <w:r>
        <w:t xml:space="preserve">member owes part of its position to truncation: over complete runs its violation margin</w:t>
      </w:r>
      <w:r>
        <w:t xml:space="preserve"> </w:t>
      </w:r>
      <w:r>
        <w:t xml:space="preserve">narrows from 71 to 26 steps.</w:t>
      </w:r>
    </w:p>
    <w:p>
      <w:pPr>
        <w:pStyle w:val="MDPI31text"/>
      </w:pPr>
      <w:r>
        <w:t xml:space="preserve">The mechanism evidence is narrower than the headline comparison. It rests on a</w:t>
      </w:r>
      <w:r>
        <w:t xml:space="preserve"> </w:t>
      </w:r>
      <w:r>
        <w:t xml:space="preserve">three-library comparison, and the third library exists on one optimiser only. The ensemble</w:t>
      </w:r>
      <w:r>
        <w:t xml:space="preserve"> </w:t>
      </w:r>
      <w:r>
        <w:t xml:space="preserve">triple is complete, whereas at threshold</w:t>
      </w:r>
      <w:r>
        <w:t xml:space="preserve"> </w:t>
      </w:r>
      <m:oMath>
        <m:r>
          <m:t>0.05</m:t>
        </m:r>
      </m:oMath>
      <w:r>
        <w:t xml:space="preserve"> </w:t>
      </w:r>
      <w:r>
        <w:t xml:space="preserve">under sequential thresholded least squares</w:t>
      </w:r>
      <w:r>
        <w:t xml:space="preserve"> </w:t>
      </w:r>
      <w:r>
        <w:t xml:space="preserve">only the raw and full-physics libraries were run (</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w:t>
      </w:r>
      <w:r>
        <w:t xml:space="preserve"> </w:t>
      </w:r>
      <w:r>
        <w:t xml:space="preserve">the raw-over-physics direction replicates but the non-monotonicity does not exist as a</w:t>
      </w:r>
      <w:r>
        <w:t xml:space="preserve"> </w:t>
      </w:r>
      <w:r>
        <w:t xml:space="preserve">three-point series on that axis. Boiler-term survival is measured at library level rather</w:t>
      </w:r>
      <w:r>
        <w:t xml:space="preserve"> </w:t>
      </w:r>
      <w:r>
        <w:t xml:space="preserve">than manipulated, because the libraries differ in the basis and survival is a downstream</w:t>
      </w:r>
      <w:r>
        <w:t xml:space="preserve"> </w:t>
      </w:r>
      <w:r>
        <w:t xml:space="preserve">property of the resulting fits. The only randomised manipulation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A fourth</w:t>
      </w:r>
      <w:r>
        <w:t xml:space="preserve"> </w:t>
      </w:r>
      <w:r>
        <w:t xml:space="preserve">library (the term-deletion probe) did not disturb the pattern, which nevertheless remains</w:t>
      </w:r>
      <w:r>
        <w:t xml:space="preserve"> </w:t>
      </w:r>
      <w:r>
        <w:t xml:space="preserve">observational at library level. The cause of the boiler-term survival pattern is</w:t>
      </w:r>
      <w:r>
        <w:t xml:space="preserve"> </w:t>
      </w:r>
      <w:r>
        <w:t xml:space="preserve">unresolved. The candidate structural explanation, that the bilinear</w:t>
      </w:r>
      <w:r>
        <w:t xml:space="preserve"> </w:t>
      </w:r>
      <m:oMath>
        <m:sSub>
          <m:e>
            <m:r>
              <m:t>T</m:t>
            </m:r>
          </m:e>
          <m:sub>
            <m:r>
              <m:rPr>
                <m:sty m:val="p"/>
              </m:rPr>
              <m:t>in</m:t>
            </m:r>
          </m:sub>
        </m:sSub>
        <m:sSub>
          <m:e>
            <m:r>
              <m:t>u</m:t>
            </m:r>
          </m:e>
          <m:sub>
            <m:r>
              <m:rPr>
                <m:sty m:val="p"/>
              </m:rPr>
              <m:t>Boil</m:t>
            </m:r>
          </m:sub>
        </m:sSub>
      </m:oMath>
      <w:r>
        <w:t xml:space="preserve"> </w:t>
      </w:r>
      <w:r>
        <w:t xml:space="preserve">term is what rescues the full physics library, has been</w:t>
      </w:r>
      <w:r>
        <w:t xml:space="preserve"> </w:t>
      </w:r>
      <w:r>
        <w:t xml:space="preserve">tested by deleting exactly that feature, same optimiser and threshold, four seasons</w:t>
      </w:r>
      <w:r>
        <w:t xml:space="preserve"> </w:t>
      </w:r>
      <m:oMath>
        <m:r>
          <m:rPr>
            <m:sty m:val="p"/>
          </m:rPr>
          <m:t>×</m:t>
        </m:r>
      </m:oMath>
      <w:r>
        <w:t xml:space="preserve"> </w:t>
      </w:r>
      <w:r>
        <w:t xml:space="preserve">20 replicates in closed loop, and is rejected (Section </w:t>
      </w:r>
      <w:hyperlink w:anchor="sec:disc-mechanism">
        <w:r>
          <w:rPr>
            <w:rStyle w:val="Hyperlink"/>
          </w:rPr>
          <w:t xml:space="preserve">4.1</w:t>
        </w:r>
      </w:hyperlink>
      <w:r>
        <w:t xml:space="preserve">):</w:t>
      </w:r>
      <w:r>
        <w:t xml:space="preserve"> </w:t>
      </w:r>
      <w:r>
        <w:t xml:space="preserve">the 17-feature library keeps the full library’s conditioning, open-loop instability and</w:t>
      </w:r>
      <w:r>
        <w:t xml:space="preserve"> </w:t>
      </w:r>
      <w:r>
        <w:t xml:space="preserve">closed-loop level, and its survival (</w:t>
      </w:r>
      <m:oMath>
        <m:r>
          <m:t>0.40</m:t>
        </m:r>
      </m:oMath>
      <w:r>
        <w:t xml:space="preserve">) comes nowhere near the middle library’s</w:t>
      </w:r>
      <w:r>
        <w:t xml:space="preserve"> </w:t>
      </w:r>
      <m:oMath>
        <m:r>
          <m:t>0.15</m:t>
        </m:r>
      </m:oMath>
      <w:r>
        <w:t xml:space="preserve">. The two observational figures once offered for the detour were non-significant at</w:t>
      </w:r>
      <w:r>
        <w:t xml:space="preserve"> </w:t>
      </w:r>
      <w:r>
        <w:t xml:space="preserve">9–11 and 3–17 replicates and now stand only as absence of contradiction. The mechanism</w:t>
      </w:r>
      <w:r>
        <w:t xml:space="preserve"> </w:t>
      </w:r>
      <w:r>
        <w:t xml:space="preserve">block also covers a single season: all 800 mechanism runs are for 2020, so neither the</w:t>
      </w:r>
      <w:r>
        <w:t xml:space="preserve"> </w:t>
      </w:r>
      <m:oMath>
        <m:r>
          <m:t>λ</m:t>
        </m:r>
      </m:oMath>
      <w:r>
        <w:t xml:space="preserve"> </w:t>
      </w:r>
      <w:r>
        <w:t xml:space="preserve">sweep nor the ablation generalises across seasons, and the knock-in and</w:t>
      </w:r>
      <w:r>
        <w:t xml:space="preserve"> </w:t>
      </w:r>
      <w:r>
        <w:t xml:space="preserve">cross-term blocks rest on different baselines (boiler-term survival</w:t>
      </w:r>
      <w:r>
        <w:t xml:space="preserve"> </w:t>
      </w:r>
      <m:oMath>
        <m:r>
          <m:t>0.15</m:t>
        </m:r>
      </m:oMath>
      <w:r>
        <w:t xml:space="preserve"> </w:t>
      </w:r>
      <w:r>
        <w:t xml:space="preserve">against</w:t>
      </w:r>
      <w:r>
        <w:t xml:space="preserve"> </w:t>
      </w:r>
      <m:oMath>
        <m:r>
          <m:t>1.00</m:t>
        </m:r>
      </m:oMath>
      <w:r>
        <w:t xml:space="preserve">)</w:t>
      </w:r>
      <w:r>
        <w:t xml:space="preserve"> </w:t>
      </w:r>
      <w:r>
        <w:t xml:space="preserve">and are not mutually comparable, whereas the library comparison covers all four test</w:t>
      </w:r>
      <w:r>
        <w:t xml:space="preserve"> </w:t>
      </w:r>
      <w:r>
        <w:t xml:space="preserve">seasons, including the term-deletion probe. The held-out check, likewise, rests on two</w:t>
      </w:r>
      <w:r>
        <w:t xml:space="preserve"> </w:t>
      </w:r>
      <w:r>
        <w:t xml:space="preserve">training years; with 2018 and 2019 alone, year-dependence cannot be separated from chance,</w:t>
      </w:r>
      <w:r>
        <w:t xml:space="preserve"> </w:t>
      </w:r>
      <w:r>
        <w:t xml:space="preserve">and the evaluation year dominates (Section </w:t>
      </w:r>
      <w:hyperlink w:anchor="sec:disc-rule">
        <w:r>
          <w:rPr>
            <w:rStyle w:val="Hyperlink"/>
          </w:rPr>
          <w:t xml:space="preserve">4.2</w:t>
        </w:r>
      </w:hyperlink>
      <w:r>
        <w:t xml:space="preserve">).</w:t>
      </w:r>
    </w:p>
    <w:p>
      <w:pPr>
        <w:pStyle w:val="MDPI31text"/>
      </w:pPr>
      <w:r>
        <w:t xml:space="preserve">The support experiments were run under the default objective and at an untuned horizon.</w:t>
      </w:r>
      <w:r>
        <w:t xml:space="preserve"> </w:t>
      </w:r>
      <w:r>
        <w:t xml:space="preserve">The support harness hard-codes the default stage cost, so the design and sensitivity</w:t>
      </w:r>
      <w:r>
        <w:t xml:space="preserve"> </w:t>
      </w:r>
      <w:r>
        <w:t xml:space="preserve">blocks do not test the price-aligned formulation. Under the default objective, perturbing</w:t>
      </w:r>
      <w:r>
        <w:t xml:space="preserve"> </w:t>
      </w:r>
      <w:r>
        <w:t xml:space="preserve">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w:t>
      </w:r>
      <w:r>
        <w:t xml:space="preserve"> </w:t>
      </w:r>
      <w:r>
        <w:t xml:space="preserve">10 and 10 of 10 replicates worse, span of means</w:t>
      </w:r>
      <w:r>
        <w:t xml:space="preserve"> </w:t>
      </w:r>
      <m:oMath>
        <m:r>
          <m:t>12.2</m:t>
        </m:r>
      </m:oMath>
      <w:r>
        <w:t xml:space="preserve"> EUR m</w:t>
      </w:r>
      <m:oMath>
        <m:sSup>
          <m:e>
            <m:r>
              <m:t>​</m:t>
            </m:r>
          </m:e>
          <m:sup>
            <m:r>
              <m:rPr>
                <m:sty m:val="p"/>
              </m:rPr>
              <m:t>−</m:t>
            </m:r>
            <m:r>
              <m:t>2</m:t>
            </m:r>
          </m:sup>
        </m:sSup>
      </m:oMath>
      <w:r>
        <w:t xml:space="preserve">), but the degradation</w:t>
      </w:r>
      <w:r>
        <w:t xml:space="preserve"> </w:t>
      </w:r>
      <w:r>
        <w:t xml:space="preserve">comes from a growing minority of catastrophic runs rather than from a uniform decline; the</w:t>
      </w:r>
      <w:r>
        <w:t xml:space="preserve"> </w:t>
      </w:r>
      <w:r>
        <w:t xml:space="preserve">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 stops at</w:t>
      </w:r>
      <w:r>
        <w:t xml:space="preserve"> </w:t>
      </w:r>
      <m:oMath>
        <m:r>
          <m:rPr>
            <m:sty m:val="p"/>
          </m:rPr>
          <m:t>±</m:t>
        </m:r>
        <m:r>
          <m:t>20</m:t>
        </m:r>
        <m:r>
          <m:t> </m:t>
        </m:r>
        <m:r>
          <m:rPr>
            <m:sty m:val="p"/>
          </m:rPr>
          <m:t>%</m:t>
        </m:r>
      </m:oMath>
      <w:r>
        <w:t xml:space="preserve">, so the</w:t>
      </w:r>
      <w:r>
        <w:t xml:space="preserve"> </w:t>
      </w:r>
      <w:r>
        <w:t xml:space="preserve">non-monotonicity the coarser canonical grid shows at</w:t>
      </w:r>
      <w:r>
        <w:t xml:space="preserve"> </w:t>
      </w:r>
      <m:oMath>
        <m:r>
          <m:rPr>
            <m:sty m:val="p"/>
          </m:rPr>
          <m:t>±</m:t>
        </m:r>
        <m:r>
          <m:t>30</m:t>
        </m:r>
        <m:r>
          <m:t> </m:t>
        </m:r>
        <m:r>
          <m:rPr>
            <m:sty m:val="p"/>
          </m:rPr>
          <m:t>%</m:t>
        </m:r>
      </m:oMath>
      <w:r>
        <w:t xml:space="preserve"> </w:t>
      </w:r>
      <w:r>
        <w:t xml:space="preserve">is unreproduced rather</w:t>
      </w:r>
      <w:r>
        <w:t xml:space="preserve"> </w:t>
      </w:r>
      <w:r>
        <w:t xml:space="preserve">than refuted. The horizon was never tuned for any MPC. Every MPC improves at horizon 8</w:t>
      </w:r>
      <w:r>
        <w:t xml:space="preserve"> </w:t>
      </w:r>
      <w:r>
        <w:t xml:space="preserve">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w:t>
      </w:r>
      <w:r>
        <w:t xml:space="preserve"> </w:t>
      </w:r>
      <w:r>
        <w:t xml:space="preserve">physics-informed variants. This is consistent with rollout error compounding inside the</w:t>
      </w:r>
      <w:r>
        <w:t xml:space="preserve"> </w:t>
      </w:r>
      <w:r>
        <w:t xml:space="preserve">prediction horizon, which is the open-loop half of the argument and is unaffected by</w:t>
      </w:r>
      <w:r>
        <w:t xml:space="preserve"> </w:t>
      </w:r>
      <w:r>
        <w:t xml:space="preserve">Section </w:t>
      </w:r>
      <w:hyperlink w:anchor="sec:disc-mechanism">
        <w:r>
          <w:rPr>
            <w:rStyle w:val="Hyperlink"/>
          </w:rPr>
          <w:t xml:space="preserve">4.1</w:t>
        </w:r>
      </w:hyperlink>
      <w:r>
        <w:t xml:space="preserve">, and it is an asymmetry running against the MPCs, which</w:t>
      </w:r>
      <w:r>
        <w:t xml:space="preserve"> </w:t>
      </w:r>
      <w:r>
        <w:t xml:space="preserve">received no hyperparameter search while the heuristic was searched over 16 trials and the</w:t>
      </w:r>
      <w:r>
        <w:t xml:space="preserve"> </w:t>
      </w:r>
      <w:r>
        <w:t xml:space="preserve">reinforcement-learning agents carry a recorded allocation of the same size. The</w:t>
      </w:r>
      <w:r>
        <w:t xml:space="preserve"> </w:t>
      </w:r>
      <w:r>
        <w:t xml:space="preserve">reinforcement-learning results carry an asymmetry of their own in the other direction:</w:t>
      </w:r>
      <w:r>
        <w:t xml:space="preserve"> </w:t>
      </w:r>
      <w:r>
        <w:t xml:space="preserve">the agents were trained for</w:t>
      </w:r>
      <w:r>
        <w:t xml:space="preserve"> </w:t>
      </w:r>
      <m:oMath>
        <m:r>
          <m:t>2</m:t>
        </m:r>
        <m:r>
          <m:rPr>
            <m:sty m:val="p"/>
          </m:rPr>
          <m:t>⋅</m:t>
        </m:r>
        <m:sSup>
          <m:e>
            <m:r>
              <m:t>10</m:t>
            </m:r>
          </m:e>
          <m:sup>
            <m:r>
              <m:t>5</m:t>
            </m:r>
          </m:sup>
        </m:sSup>
      </m:oMath>
      <w:r>
        <w:t xml:space="preserve"> </w:t>
      </w:r>
      <w:r>
        <w:t xml:space="preserve">environment steps at stock Stable-Baselines3</w:t>
      </w:r>
      <w:r>
        <w:t xml:space="preserve"> </w:t>
      </w:r>
      <w:r>
        <w:t xml:space="preserve">settings, a tenth of the budget the GreenLight-Gym reference spent on the same two</w:t>
      </w:r>
      <w:r>
        <w:t xml:space="preserve"> </w:t>
      </w:r>
      <w:r>
        <w:t xml:space="preserve">algorithms with tuned hyper-parameters [16] (Section </w:t>
      </w:r>
      <w:hyperlink w:anchor="sec:controllers">
        <w:r>
          <w:rPr>
            <w:rStyle w:val="Hyperlink"/>
          </w:rPr>
          <w:t xml:space="preserve">2.3</w:t>
        </w:r>
      </w:hyperlink>
      <w:r>
        <w:t xml:space="preserve">),</w:t>
      </w:r>
      <w:r>
        <w:t xml:space="preserve"> </w:t>
      </w:r>
      <w:r>
        <w:t xml:space="preserve">so the positions of PPO and SAC in Table </w:t>
      </w:r>
      <w:hyperlink w:anchor="tab:main">
        <w:r>
          <w:rPr>
            <w:rStyle w:val="Hyperlink"/>
          </w:rPr>
          <w:t xml:space="preserve">6</w:t>
        </w:r>
      </w:hyperlink>
      <w:r>
        <w:t xml:space="preserve"> </w:t>
      </w:r>
      <w:r>
        <w:t xml:space="preserve">and on the front of</w:t>
      </w:r>
      <w:r>
        <w:t xml:space="preserve"> </w:t>
      </w:r>
      <w:r>
        <w:t xml:space="preserve">Figure </w:t>
      </w:r>
      <w:hyperlink w:anchor="fig:pareto">
        <w:r>
          <w:rPr>
            <w:rStyle w:val="Hyperlink"/>
          </w:rPr>
          <w:t xml:space="preserve">2</w:t>
        </w:r>
      </w:hyperlink>
      <w:r>
        <w:t xml:space="preserve"> </w:t>
      </w:r>
      <w:r>
        <w:t xml:space="preserve">are conditional on that budget and should not be read as the</w:t>
      </w:r>
      <w:r>
        <w:t xml:space="preserve"> </w:t>
      </w:r>
      <w:r>
        <w:t xml:space="preserve">ceiling of either algorithm on this environment.</w:t>
      </w:r>
    </w:p>
    <w:p>
      <w:pPr>
        <w:pStyle w:val="MDPI31text"/>
      </w:pPr>
      <w:r>
        <w:t xml:space="preserve">Reproducibility is established within one environment only. The pipeline reproduces nine</w:t>
      </w:r>
      <w:r>
        <w:t xml:space="preserve"> </w:t>
      </w:r>
      <w:r>
        <w:t xml:space="preserve">digests bit-for-bit on one machine, and no wave was re-executed in the second of the two</w:t>
      </w:r>
      <w:r>
        <w:t xml:space="preserve"> </w:t>
      </w:r>
      <w:r>
        <w:t xml:space="preserve">environments the study used, so whether a given wave’s closed-loop margins survive a</w:t>
      </w:r>
      <w:r>
        <w:t xml:space="preserve"> </w:t>
      </w:r>
      <w:r>
        <w:t xml:space="preserve">change of machine was not measured directly; the manifests record no environment, and</w:t>
      </w:r>
      <w:r>
        <w:t xml:space="preserve"> </w:t>
      </w:r>
      <w:r>
        <w:t xml:space="preserve">only a per-row environment tag does (Section </w:t>
      </w:r>
      <w:hyperlink w:anchor="sec:repro">
        <w:r>
          <w:rPr>
            <w:rStyle w:val="Hyperlink"/>
          </w:rPr>
          <w:t xml:space="preserve">2.9</w:t>
        </w:r>
      </w:hyperlink>
      <w:r>
        <w:t xml:space="preserve">). What the tree does show is</w:t>
      </w:r>
      <w:r>
        <w:t xml:space="preserve"> </w:t>
      </w:r>
      <w:r>
        <w:t xml:space="preserve">the size of the platform effect on a controller with no stochastic element: the two harnesses score the deterministic heuristic</w:t>
      </w:r>
      <w:r>
        <w:t xml:space="preserve"> </w:t>
      </w:r>
      <w:r>
        <w:t xml:space="preserve">differently in all four seasons at identical 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 each season, the main harness having</w:t>
      </w:r>
      <w:r>
        <w:t xml:space="preserve"> </w:t>
      </w:r>
      <w:r>
        <w:t xml:space="preserve">run on the cluster and the tuning harness on the workstation. A controller with no</w:t>
      </w:r>
      <w:r>
        <w:t xml:space="preserve"> </w:t>
      </w:r>
      <w:r>
        <w:t xml:space="preserve">stochastic element reproducing itself only to two decimal places across platforms is the</w:t>
      </w:r>
      <w:r>
        <w:t xml:space="preserve"> </w:t>
      </w:r>
      <w:r>
        <w:t xml:space="preserve">conservative statement of this limitation, and it is enough to warrant the rule adopted:</w:t>
      </w:r>
      <w:r>
        <w:t xml:space="preserve"> </w:t>
      </w:r>
      <w:r>
        <w:t xml:space="preserve">whole waves are regenerated in one environment, and the only cells that cross the two,</w:t>
      </w:r>
      <w:r>
        <w:t xml:space="preserve"> </w:t>
      </w:r>
      <w:r>
        <w:t xml:space="preserve">the seed-matched priced-minus-default differences, are read against that drift.</w:t>
      </w:r>
      <w:r>
        <w:t xml:space="preserve"> </w:t>
      </w:r>
      <w:r>
        <w:t xml:space="preserve">The configuration hash does not discriminate between objective variants either, so the</w:t>
      </w:r>
      <w:r>
        <w:t xml:space="preserve"> </w:t>
      </w:r>
      <w:r>
        <w:t xml:space="preserve">results tree and block, not the hash, are the identifying key.</w:t>
      </w:r>
    </w:p>
    <w:p>
      <w:pPr>
        <w:pStyle w:val="MDPI31text"/>
      </w:pPr>
      <w:r>
        <w:t xml:space="preserve">The safety additions, finally, are negative results. The out-of-distribution guard gives</w:t>
      </w:r>
      <w:r>
        <w:t xml:space="preserve"> </w:t>
      </w:r>
      <w:r>
        <w:t xml:space="preserve">no net benefit, and the sign of its effect depends on the statistic taken (mean or median,</w:t>
      </w:r>
      <w:r>
        <w:t xml:space="preserve"> </w:t>
      </w:r>
      <w:r>
        <w:t xml:space="preserve">all pairs or completed seasons; Section </w:t>
      </w:r>
      <w:hyperlink w:anchor="sec:res-safety">
        <w:r>
          <w:rPr>
            <w:rStyle w:val="Hyperlink"/>
          </w:rPr>
          <w:t xml:space="preserve">3.7</w:t>
        </w:r>
      </w:hyperlink>
      <w:r>
        <w:t xml:space="preserve">). It truncates a left tail</w:t>
      </w:r>
      <w:r>
        <w:t xml:space="preserve"> </w:t>
      </w:r>
      <w:r>
        <w:t xml:space="preserve">rather than raising the centre, costs violations, ends</w:t>
      </w:r>
      <w:r>
        <w:t xml:space="preserve"> </w:t>
      </w:r>
      <m:oMath>
        <m:r>
          <m:t>30</m:t>
        </m:r>
        <m:r>
          <m:t> </m:t>
        </m:r>
        <m:r>
          <m:rPr>
            <m:sty m:val="p"/>
          </m:rPr>
          <m:t>%</m:t>
        </m:r>
      </m:oMath>
      <w:r>
        <w:t xml:space="preserve"> </w:t>
      </w:r>
      <w:r>
        <w:t xml:space="preserve">of its seasons early, and</w:t>
      </w:r>
      <w:r>
        <w:t xml:space="preserve"> </w:t>
      </w:r>
      <w:r>
        <w:t xml:space="preserve">rests on a detector barely better than chance; its activation count was never recorded, so</w:t>
      </w:r>
      <w:r>
        <w:t xml:space="preserve"> </w:t>
      </w:r>
      <w:r>
        <w:t xml:space="preserve">the natural explanatory variable is missing. The extended Kalman filter observer scores</w:t>
      </w:r>
      <w:r>
        <w:t xml:space="preserve"> </w:t>
      </w:r>
      <w:r>
        <w:t xml:space="preserve">below the static model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 with</w:t>
      </w:r>
      <w:r>
        <w:t xml:space="preserve"> </w:t>
      </w:r>
      <m:oMath>
        <m:r>
          <m:t>39</m:t>
        </m:r>
        <m:r>
          <m:t> </m:t>
        </m:r>
        <m:r>
          <m:rPr>
            <m:sty m:val="p"/>
          </m:rPr>
          <m:t>%</m:t>
        </m:r>
      </m:oMath>
      <w:r>
        <w:t xml:space="preserve"> </w:t>
      </w:r>
      <w:r>
        <w:t xml:space="preserve">of its</w:t>
      </w:r>
      <w:r>
        <w:t xml:space="preserve"> </w:t>
      </w:r>
      <w:r>
        <w:t xml:space="preserve">seasons terminating early.</w:t>
      </w:r>
    </w:p>
    <w:bookmarkStart w:id="79" w:name="tab:disc-libraries"/>
    <w:p>
      <w:pPr>
        <w:pStyle w:val="MDPI41tablecaption"/>
      </w:pPr>
      <w:r>
        <w:rPr>
          <w:b/>
        </w:rPr>
        <w:t xml:space="preserve">Table 14. </w:t>
      </w: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but only over the two sparse estimators used here; pooled over</w:t>
      </w:r>
      <w:r>
        <w:t xml:space="preserve"> </w:t>
      </w:r>
      <w:r>
        <w:t xml:space="preserve">all four estimators of the full ladder the one-step ordering is no longer</w:t>
      </w:r>
      <w:r>
        <w:t xml:space="preserve"> </w:t>
      </w:r>
      <w:r>
        <w:t xml:space="preserve">strict. All quantities are open-loop;</w:t>
      </w:r>
      <w:r>
        <w:t xml:space="preserve"> </w:t>
      </w:r>
      <m:oMath>
        <m:r>
          <m:t>κ</m:t>
        </m:r>
      </m:oMath>
      <w:r>
        <w:t xml:space="preserve"> </w:t>
      </w:r>
      <w:r>
        <w:t xml:space="preserve">orders every column here but not</w:t>
      </w:r>
      <w:r>
        <w:t xml:space="preserve"> </w:t>
      </w:r>
      <w:r>
        <w:t xml:space="preserve">closed-loop margin, where the series is non-monotone</w:t>
      </w:r>
      <w:r>
        <w:t xml:space="preserve"> </w:t>
      </w:r>
      <w:r>
        <w:t xml:space="preserve">(Section </w:t>
      </w:r>
      <w:hyperlink w:anchor="sec:disc-mechanism">
        <w:r>
          <w:rPr>
            <w:rStyle w:val="Hyperlink"/>
          </w:rPr>
          <w:t xml:space="preserve">4.1</w:t>
        </w:r>
      </w:hyperlink>
      <w:r>
        <w:t xml:space="preserve">). The dispersion of the two physics libraries is</w:t>
      </w:r>
      <w:r>
        <w:t xml:space="preserve"> </w:t>
      </w:r>
      <w:r>
        <w:t xml:space="preserve">discussed in Section </w:t>
      </w:r>
      <w:hyperlink w:anchor="sec:disc-rule">
        <w:r>
          <w:rPr>
            <w:rStyle w:val="Hyperlink"/>
          </w:rPr>
          <w:t xml:space="preserve">4.2</w:t>
        </w:r>
      </w:hyperlink>
      <w:r>
        <w:t xml:space="preserve">.</w:t>
      </w:r>
    </w:p>
    <w:tbl>
      <w:tblPr>
        <w:tblStyle w:val="MDPI41threeline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but only over the two sparse estimators used here; pooled over all four estimators of the full ladder the one-step ordering is no longer strict. All quantities are open-loop; \kappa orders every column here but not closed-loop margin, where the series is non-monotone (Section 4.1). The dispersion of the two physics libraries is discussed in Section 4.2."/>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Feature library</w:t>
            </w:r>
          </w:p>
        </w:tc>
        <w:tc>
          <w:tcPr>
            <w:vAlign w:val="center"/>
          </w:tcPr>
          <w:p>
            <w:pPr>
              <w:pStyle w:val="MDPI42tablebody"/>
              <w:suppressAutoHyphens/>
              <w:jc w:val="center"/>
            </w:pPr>
            <w:r>
              <w:t xml:space="preserve">Features</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Terms</w:t>
            </w:r>
          </w:p>
        </w:tc>
        <w:tc>
          <w:tcPr>
            <w:vAlign w:val="center"/>
          </w:tcPr>
          <w:p>
            <w:pPr>
              <w:pStyle w:val="MDPI42tablebody"/>
              <w:suppressAutoHyphens/>
              <w:jc w:val="center"/>
            </w:pPr>
            <w:r>
              <w:t xml:space="preserve">One-step RMSE</w:t>
            </w:r>
          </w:p>
        </w:tc>
        <w:tc>
          <w:tcPr>
            <w:vAlign w:val="center"/>
          </w:tcPr>
          <w:p>
            <w:pPr>
              <w:pStyle w:val="MDPI42tablebody"/>
              <w:suppressAutoHyphens/>
              <w:jc w:val="center"/>
            </w:pPr>
            <w:r>
              <w:t xml:space="preserve">Rollout RMSE, median [IQR]</w:t>
            </w:r>
          </w:p>
        </w:tc>
        <w:tc>
          <w:tcPr>
            <w:vAlign w:val="center"/>
          </w:tcPr>
          <w:p>
            <w:pPr>
              <w:pStyle w:val="MDPI42tablebody"/>
              <w:suppressAutoHyphens/>
              <w:jc w:val="center"/>
            </w:pPr>
            <w:r>
              <w:t xml:space="preserve">Diverged</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(°C)</w:t>
            </w:r>
          </w:p>
        </w:tc>
        <w:tc>
          <w:tcPr>
            <w:vAlign w:val="center"/>
          </w:tcPr>
          <w:p>
            <w:pPr>
              <w:pStyle w:val="MDPI42tablebody"/>
              <w:suppressAutoHyphens/>
              <w:jc w:val="center"/>
            </w:pPr>
            <w:r>
              <w:t xml:space="preserve">(°C)</w:t>
            </w:r>
          </w:p>
        </w:tc>
        <w:tc>
          <w:tcPr>
            <w:vAlign w:val="center"/>
          </w:tcPr>
          <w:p>
            <w:pPr>
              <w:pStyle w:val="MDPI42tablebody"/>
              <w:suppressAutoHyphens/>
              <w:jc w:val="center"/>
            </w:pPr>
            <w:r>
              <w:t xml:space="preserve">(fraction)</w:t>
            </w:r>
          </w:p>
        </w:tc>
      </w:tr>
      <w:tr>
        <w:tc>
          <w:tcPr>
            <w:gridSpan w:val="7"/>
            <w:vAlign w:val="center"/>
          </w:tcPr>
          <w:p>
            <w:pPr>
              <w:pStyle w:val="MDPI42tablebody"/>
              <w:keepNext/>
              <w:suppressAutoHyphens/>
              <w:spacing w:before="60"/>
              <w:jc w:val="left"/>
            </w:pPr>
            <w:r>
              <w:rPr>
                <w:i/>
                <w:iCs/>
              </w:rPr>
              <w:t xml:space="preserve">In-sample</w:t>
            </w:r>
          </w:p>
        </w:tc>
      </w:tr>
      <w:tr>
        <w:tc>
          <w:tcPr>
            <w:vAlign w:val="center"/>
          </w:tcPr>
          <w:p>
            <w:pPr>
              <w:pStyle w:val="MDPI42tablebody"/>
              <w:suppressAutoHyphens/>
              <w:jc w:val="center"/>
            </w:pPr>
            <w:r>
              <w:t xml:space="preserve">Raw (physics-free)</w:t>
            </w:r>
          </w:p>
        </w:tc>
        <w:tc>
          <w:tcPr>
            <w:vAlign w:val="center"/>
          </w:tcPr>
          <w:p>
            <w:pPr>
              <w:pStyle w:val="MDPI42tablebody"/>
              <w:suppressAutoHyphens/>
              <w:jc w:val="center"/>
            </w:pPr>
            <w:r>
              <w:t xml:space="preserve">11</w:t>
            </w:r>
          </w:p>
        </w:tc>
        <w:tc>
          <w:tcPr>
            <w:vAlign w:val="center"/>
          </w:tcPr>
          <w:p>
            <w:pPr>
              <w:pStyle w:val="MDPI42tablebody"/>
              <w:suppressAutoHyphens/>
              <w:jc w:val="center"/>
            </w:pPr>
            <w:r>
              <w:rPr>
                <w:b/>
                <w:bCs/>
              </w:rPr>
              <w:t xml:space="preserve">8.2</w:t>
            </w:r>
          </w:p>
        </w:tc>
        <w:tc>
          <w:tcPr>
            <w:vAlign w:val="center"/>
          </w:tcPr>
          <w:p>
            <w:pPr>
              <w:pStyle w:val="MDPI42tablebody"/>
              <w:suppressAutoHyphens/>
              <w:jc w:val="center"/>
            </w:pPr>
            <w:r>
              <w:rPr>
                <w:b/>
                <w:bCs/>
              </w:rPr>
              <w:t xml:space="preserve">20.6</w:t>
            </w:r>
          </w:p>
        </w:tc>
        <w:tc>
          <w:tcPr>
            <w:vAlign w:val="center"/>
          </w:tcPr>
          <w:p>
            <w:pPr>
              <w:pStyle w:val="MDPI42tablebody"/>
              <w:suppressAutoHyphens/>
              <w:jc w:val="center"/>
            </w:pPr>
            <w:r>
              <w:t xml:space="preserve">1.84</w:t>
            </w:r>
          </w:p>
        </w:tc>
        <w:tc>
          <w:tcPr>
            <w:vAlign w:val="center"/>
          </w:tcPr>
          <w:p>
            <w:pPr>
              <w:pStyle w:val="MDPI42tablebody"/>
              <w:suppressAutoHyphens/>
              <w:jc w:val="center"/>
            </w:pPr>
            <w:r>
              <w:rPr>
                <w:b/>
                <w:bCs/>
              </w:rPr>
              <w:t xml:space="preserve">2.62</w:t>
            </w:r>
            <w:r>
              <w:t xml:space="preserve"> </w:t>
            </w:r>
            <w:r>
              <w:t xml:space="preserve">[2.53, 2.80]</w:t>
            </w:r>
          </w:p>
        </w:tc>
        <w:tc>
          <w:tcPr>
            <w:vAlign w:val="center"/>
          </w:tcPr>
          <w:p>
            <w:pPr>
              <w:pStyle w:val="MDPI42tablebody"/>
              <w:suppressAutoHyphens/>
              <w:jc w:val="center"/>
            </w:pPr>
            <w:r>
              <w:rPr>
                <w:b/>
                <w:bCs/>
              </w:rPr>
              <w:t xml:space="preserve">0.000</w:t>
            </w:r>
          </w:p>
        </w:tc>
      </w:tr>
      <w:tr>
        <w:tc>
          <w:tcPr>
            <w:vAlign w:val="center"/>
          </w:tcPr>
          <w:p>
            <w:pPr>
              <w:pStyle w:val="MDPI42tablebody"/>
              <w:suppressAutoHyphens/>
              <w:jc w:val="center"/>
            </w:pPr>
            <w:r>
              <w:t xml:space="preserve">Physics, no cross terms</w:t>
            </w:r>
          </w:p>
        </w:tc>
        <w:tc>
          <w:tcPr>
            <w:vAlign w:val="center"/>
          </w:tcPr>
          <w:p>
            <w:pPr>
              <w:pStyle w:val="MDPI42tablebody"/>
              <w:suppressAutoHyphens/>
              <w:jc w:val="center"/>
            </w:pPr>
            <w:r>
              <w:t xml:space="preserve">14</w:t>
            </w:r>
          </w:p>
        </w:tc>
        <w:tc>
          <w:tcPr>
            <w:vAlign w:val="center"/>
          </w:tcPr>
          <w:p>
            <w:pPr>
              <w:pStyle w:val="MDPI42tablebody"/>
              <w:suppressAutoHyphens/>
              <w:jc w:val="center"/>
            </w:pPr>
            <w:r>
              <w:t xml:space="preserve">25.4</w:t>
            </w:r>
          </w:p>
        </w:tc>
        <w:tc>
          <w:tcPr>
            <w:vAlign w:val="center"/>
          </w:tcPr>
          <w:p>
            <w:pPr>
              <w:pStyle w:val="MDPI42tablebody"/>
              <w:suppressAutoHyphens/>
              <w:jc w:val="center"/>
            </w:pPr>
            <w:r>
              <w:t xml:space="preserve">29.7</w:t>
            </w:r>
          </w:p>
        </w:tc>
        <w:tc>
          <w:tcPr>
            <w:vAlign w:val="center"/>
          </w:tcPr>
          <w:p>
            <w:pPr>
              <w:pStyle w:val="MDPI42tablebody"/>
              <w:suppressAutoHyphens/>
              <w:jc w:val="center"/>
            </w:pPr>
            <w:r>
              <w:t xml:space="preserve">1.69</w:t>
            </w:r>
          </w:p>
        </w:tc>
        <w:tc>
          <w:tcPr>
            <w:vAlign w:val="center"/>
          </w:tcPr>
          <w:p>
            <w:pPr>
              <w:pStyle w:val="MDPI42tablebody"/>
              <w:suppressAutoHyphens/>
              <w:jc w:val="center"/>
            </w:pPr>
            <w:r>
              <w:t xml:space="preserve">12.14 [2.88, 14.10]</w:t>
            </w:r>
          </w:p>
        </w:tc>
        <w:tc>
          <w:tcPr>
            <w:vAlign w:val="center"/>
          </w:tcPr>
          <w:p>
            <w:pPr>
              <w:pStyle w:val="MDPI42tablebody"/>
              <w:suppressAutoHyphens/>
              <w:jc w:val="center"/>
            </w:pPr>
            <w:r>
              <w:t xml:space="preserve">0.021</w:t>
            </w:r>
          </w:p>
        </w:tc>
      </w:tr>
      <w:tr>
        <w:tc>
          <w:tcPr>
            <w:vAlign w:val="center"/>
          </w:tcPr>
          <w:p>
            <w:pPr>
              <w:pStyle w:val="MDPI42tablebody"/>
              <w:suppressAutoHyphens/>
              <w:jc w:val="center"/>
            </w:pPr>
            <w:r>
              <w:t xml:space="preserve">Physics, full</w:t>
            </w:r>
          </w:p>
        </w:tc>
        <w:tc>
          <w:tcPr>
            <w:vAlign w:val="center"/>
          </w:tcPr>
          <w:p>
            <w:pPr>
              <w:pStyle w:val="MDPI42tablebody"/>
              <w:suppressAutoHyphens/>
              <w:jc w:val="center"/>
            </w:pPr>
            <w:r>
              <w:t xml:space="preserve">18</w:t>
            </w:r>
          </w:p>
        </w:tc>
        <w:tc>
          <w:tcPr>
            <w:vAlign w:val="center"/>
          </w:tcPr>
          <w:p>
            <w:pPr>
              <w:pStyle w:val="MDPI42tablebody"/>
              <w:suppressAutoHyphens/>
              <w:jc w:val="center"/>
            </w:pPr>
            <w:r>
              <w:t xml:space="preserve">56.2</w:t>
            </w:r>
          </w:p>
        </w:tc>
        <w:tc>
          <w:tcPr>
            <w:vAlign w:val="center"/>
          </w:tcPr>
          <w:p>
            <w:pPr>
              <w:pStyle w:val="MDPI42tablebody"/>
              <w:suppressAutoHyphens/>
              <w:jc w:val="center"/>
            </w:pPr>
            <w:r>
              <w:t xml:space="preserve">36.6</w:t>
            </w:r>
          </w:p>
        </w:tc>
        <w:tc>
          <w:tcPr>
            <w:vAlign w:val="center"/>
          </w:tcPr>
          <w:p>
            <w:pPr>
              <w:pStyle w:val="MDPI42tablebody"/>
              <w:suppressAutoHyphens/>
              <w:jc w:val="center"/>
            </w:pPr>
            <w:r>
              <w:rPr>
                <w:b/>
                <w:bCs/>
              </w:rPr>
              <w:t xml:space="preserve">1.64</w:t>
            </w:r>
          </w:p>
        </w:tc>
        <w:tc>
          <w:tcPr>
            <w:vAlign w:val="center"/>
          </w:tcPr>
          <w:p>
            <w:pPr>
              <w:pStyle w:val="MDPI42tablebody"/>
              <w:suppressAutoHyphens/>
              <w:jc w:val="center"/>
            </w:pPr>
            <w:r>
              <w:t xml:space="preserve">21.88 [18.06, 25.58]</w:t>
            </w:r>
          </w:p>
        </w:tc>
        <w:tc>
          <w:tcPr>
            <w:vAlign w:val="center"/>
          </w:tcPr>
          <w:p>
            <w:pPr>
              <w:pStyle w:val="MDPI42tablebody"/>
              <w:suppressAutoHyphens/>
              <w:jc w:val="center"/>
            </w:pPr>
            <w:r>
              <w:t xml:space="preserve">0.078</w:t>
            </w:r>
          </w:p>
        </w:tc>
      </w:tr>
      <w:tr>
        <w:tc>
          <w:tcPr>
            <w:gridSpan w:val="7"/>
            <w:vAlign w:val="center"/>
          </w:tcPr>
          <w:p>
            <w:pPr>
              <w:pStyle w:val="MDPI42tablebody"/>
              <w:keepNext/>
              <w:suppressAutoHyphens/>
              <w:spacing w:before="60"/>
              <w:jc w:val="left"/>
            </w:pPr>
            <w:r>
              <w:rPr>
                <w:i/>
                <w:iCs/>
              </w:rPr>
              <w:t xml:space="preserve">Held-out year</w:t>
            </w:r>
          </w:p>
        </w:tc>
      </w:tr>
      <w:tr>
        <w:tc>
          <w:tcPr>
            <w:vAlign w:val="center"/>
          </w:tcPr>
          <w:p>
            <w:pPr>
              <w:pStyle w:val="MDPI42tablebody"/>
              <w:suppressAutoHyphens/>
              <w:jc w:val="center"/>
            </w:pPr>
            <w:r>
              <w:t xml:space="preserve">Raw (physics-free)</w:t>
            </w:r>
          </w:p>
        </w:tc>
        <w:tc>
          <w:tcPr>
            <w:vAlign w:val="center"/>
          </w:tcPr>
          <w:p>
            <w:pPr>
              <w:pStyle w:val="MDPI42tablebody"/>
              <w:suppressAutoHyphens/>
              <w:jc w:val="center"/>
            </w:pPr>
            <w:r>
              <w:t xml:space="preserve">11</w:t>
            </w:r>
          </w:p>
        </w:tc>
        <w:tc>
          <w:tcPr>
            <w:vAlign w:val="center"/>
          </w:tcPr>
          <w:p>
            <w:pPr>
              <w:pStyle w:val="MDPI42tablebody"/>
              <w:suppressAutoHyphens/>
              <w:jc w:val="center"/>
            </w:pPr>
            <w:r>
              <w:rPr>
                <w:b/>
                <w:bCs/>
              </w:rPr>
              <w:t xml:space="preserve">8.2</w:t>
            </w:r>
          </w:p>
        </w:tc>
        <w:tc>
          <w:tcPr>
            <w:vAlign w:val="center"/>
          </w:tcPr>
          <w:p>
            <w:pPr>
              <w:pStyle w:val="MDPI42tablebody"/>
              <w:suppressAutoHyphens/>
              <w:jc w:val="center"/>
            </w:pPr>
            <w:r>
              <w:rPr>
                <w:b/>
                <w:bCs/>
              </w:rPr>
              <w:t xml:space="preserve">20.6</w:t>
            </w:r>
          </w:p>
        </w:tc>
        <w:tc>
          <w:tcPr>
            <w:vAlign w:val="center"/>
          </w:tcPr>
          <w:p>
            <w:pPr>
              <w:pStyle w:val="MDPI42tablebody"/>
              <w:suppressAutoHyphens/>
              <w:jc w:val="center"/>
            </w:pPr>
            <w:r>
              <w:t xml:space="preserve">1.89</w:t>
            </w:r>
          </w:p>
        </w:tc>
        <w:tc>
          <w:tcPr>
            <w:vAlign w:val="center"/>
          </w:tcPr>
          <w:p>
            <w:pPr>
              <w:pStyle w:val="MDPI42tablebody"/>
              <w:suppressAutoHyphens/>
              <w:jc w:val="center"/>
            </w:pPr>
            <w:r>
              <w:rPr>
                <w:b/>
                <w:bCs/>
              </w:rPr>
              <w:t xml:space="preserve">2.72</w:t>
            </w:r>
            <w:r>
              <w:t xml:space="preserve"> </w:t>
            </w:r>
            <w:r>
              <w:t xml:space="preserve">[2.63, 2.84]</w:t>
            </w:r>
          </w:p>
        </w:tc>
        <w:tc>
          <w:tcPr>
            <w:vAlign w:val="center"/>
          </w:tcPr>
          <w:p>
            <w:pPr>
              <w:pStyle w:val="MDPI42tablebody"/>
              <w:suppressAutoHyphens/>
              <w:jc w:val="center"/>
            </w:pPr>
            <w:r>
              <w:rPr>
                <w:b/>
                <w:bCs/>
              </w:rPr>
              <w:t xml:space="preserve">0.000</w:t>
            </w:r>
          </w:p>
        </w:tc>
      </w:tr>
      <w:tr>
        <w:tc>
          <w:tcPr>
            <w:vAlign w:val="center"/>
          </w:tcPr>
          <w:p>
            <w:pPr>
              <w:pStyle w:val="MDPI42tablebody"/>
              <w:suppressAutoHyphens/>
              <w:jc w:val="center"/>
            </w:pPr>
            <w:r>
              <w:t xml:space="preserve">Physics, no cross terms</w:t>
            </w:r>
          </w:p>
        </w:tc>
        <w:tc>
          <w:tcPr>
            <w:vAlign w:val="center"/>
          </w:tcPr>
          <w:p>
            <w:pPr>
              <w:pStyle w:val="MDPI42tablebody"/>
              <w:suppressAutoHyphens/>
              <w:jc w:val="center"/>
            </w:pPr>
            <w:r>
              <w:t xml:space="preserve">14</w:t>
            </w:r>
          </w:p>
        </w:tc>
        <w:tc>
          <w:tcPr>
            <w:vAlign w:val="center"/>
          </w:tcPr>
          <w:p>
            <w:pPr>
              <w:pStyle w:val="MDPI42tablebody"/>
              <w:suppressAutoHyphens/>
              <w:jc w:val="center"/>
            </w:pPr>
            <w:r>
              <w:t xml:space="preserve">25.4</w:t>
            </w:r>
          </w:p>
        </w:tc>
        <w:tc>
          <w:tcPr>
            <w:vAlign w:val="center"/>
          </w:tcPr>
          <w:p>
            <w:pPr>
              <w:pStyle w:val="MDPI42tablebody"/>
              <w:suppressAutoHyphens/>
              <w:jc w:val="center"/>
            </w:pPr>
            <w:r>
              <w:t xml:space="preserve">29.7</w:t>
            </w:r>
          </w:p>
        </w:tc>
        <w:tc>
          <w:tcPr>
            <w:vAlign w:val="center"/>
          </w:tcPr>
          <w:p>
            <w:pPr>
              <w:pStyle w:val="MDPI42tablebody"/>
              <w:suppressAutoHyphens/>
              <w:jc w:val="center"/>
            </w:pPr>
            <w:r>
              <w:t xml:space="preserve">1.82</w:t>
            </w:r>
          </w:p>
        </w:tc>
        <w:tc>
          <w:tcPr>
            <w:vAlign w:val="center"/>
          </w:tcPr>
          <w:p>
            <w:pPr>
              <w:pStyle w:val="MDPI42tablebody"/>
              <w:suppressAutoHyphens/>
              <w:jc w:val="center"/>
            </w:pPr>
            <w:r>
              <w:t xml:space="preserve">15.42 [2.69, 21.13]</w:t>
            </w:r>
          </w:p>
        </w:tc>
        <w:tc>
          <w:tcPr>
            <w:vAlign w:val="center"/>
          </w:tcPr>
          <w:p>
            <w:pPr>
              <w:pStyle w:val="MDPI42tablebody"/>
              <w:suppressAutoHyphens/>
              <w:jc w:val="center"/>
            </w:pPr>
            <w:r>
              <w:t xml:space="preserve">0.046</w:t>
            </w:r>
          </w:p>
        </w:tc>
      </w:tr>
      <w:tr>
        <w:tc>
          <w:tcPr>
            <w:vAlign w:val="center"/>
          </w:tcPr>
          <w:p>
            <w:pPr>
              <w:pStyle w:val="MDPI42tablebody"/>
              <w:suppressAutoHyphens/>
              <w:jc w:val="center"/>
            </w:pPr>
            <w:r>
              <w:t xml:space="preserve">Physics, full</w:t>
            </w:r>
          </w:p>
        </w:tc>
        <w:tc>
          <w:tcPr>
            <w:vAlign w:val="center"/>
          </w:tcPr>
          <w:p>
            <w:pPr>
              <w:pStyle w:val="MDPI42tablebody"/>
              <w:suppressAutoHyphens/>
              <w:jc w:val="center"/>
            </w:pPr>
            <w:r>
              <w:t xml:space="preserve">18</w:t>
            </w:r>
          </w:p>
        </w:tc>
        <w:tc>
          <w:tcPr>
            <w:vAlign w:val="center"/>
          </w:tcPr>
          <w:p>
            <w:pPr>
              <w:pStyle w:val="MDPI42tablebody"/>
              <w:suppressAutoHyphens/>
              <w:jc w:val="center"/>
            </w:pPr>
            <w:r>
              <w:t xml:space="preserve">56.2</w:t>
            </w:r>
          </w:p>
        </w:tc>
        <w:tc>
          <w:tcPr>
            <w:vAlign w:val="center"/>
          </w:tcPr>
          <w:p>
            <w:pPr>
              <w:pStyle w:val="MDPI42tablebody"/>
              <w:suppressAutoHyphens/>
              <w:jc w:val="center"/>
            </w:pPr>
            <w:r>
              <w:t xml:space="preserve">36.6</w:t>
            </w:r>
          </w:p>
        </w:tc>
        <w:tc>
          <w:tcPr>
            <w:vAlign w:val="center"/>
          </w:tcPr>
          <w:p>
            <w:pPr>
              <w:pStyle w:val="MDPI42tablebody"/>
              <w:suppressAutoHyphens/>
              <w:jc w:val="center"/>
            </w:pPr>
            <w:r>
              <w:rPr>
                <w:b/>
                <w:bCs/>
              </w:rPr>
              <w:t xml:space="preserve">1.76</w:t>
            </w:r>
          </w:p>
        </w:tc>
        <w:tc>
          <w:tcPr>
            <w:vAlign w:val="center"/>
          </w:tcPr>
          <w:p>
            <w:pPr>
              <w:pStyle w:val="MDPI42tablebody"/>
              <w:suppressAutoHyphens/>
              <w:jc w:val="center"/>
            </w:pPr>
            <w:r>
              <w:t xml:space="preserve">21.57 [15.56, 31.74]</w:t>
            </w:r>
          </w:p>
        </w:tc>
        <w:tc>
          <w:tcPr>
            <w:vAlign w:val="center"/>
          </w:tcPr>
          <w:p>
            <w:pPr>
              <w:pStyle w:val="MDPI42tablebody"/>
              <w:suppressAutoHyphens/>
              <w:jc w:val="center"/>
            </w:pPr>
            <w:r>
              <w:t xml:space="preserve">0.086</w:t>
            </w:r>
          </w:p>
        </w:tc>
      </w:tr>
    </w:tbl>
    <w:bookmarkEnd w:id="79"/>
    <w:p/>
    <w:bookmarkStart w:id="80" w:name="tab:disc-defects"/>
    <w:p>
      <w:pPr>
        <w:pStyle w:val="MDPI41tablecaption"/>
      </w:pPr>
      <w:r>
        <w:rPr>
          <w:b/>
        </w:rPr>
        <w:t xml:space="preserve">Table 15. </w:t>
      </w:r>
      <w:r>
        <w:t xml:space="preserve">Sensitivity of the headline comparison to two benchmarking safeguards.</w:t>
      </w:r>
      <w:r>
        <w:t xml:space="preserve"> </w:t>
      </w:r>
      <w:r>
        <w:t xml:space="preserve">EPI is the simulated seasonal margin returned by the virtual greenhouse.</w:t>
      </w:r>
    </w:p>
    <w:tbl>
      <w:tblPr>
        <w:tblStyle w:val="MDPI41threelinetable"/>
        <w:tblW w:type="pct" w:w="5000"/>
        <w:tblLayout w:type="fixed"/>
        <w:tblLook w:firstRow="1" w:lastRow="0" w:firstColumn="0" w:lastColumn="0" w:noHBand="0" w:noVBand="0" w:val="0020"/>
        <w:tblCaption w:val="Sensitivity of the headline comparison to two benchmarking safeguards. EPI is the simulated seasonal margin returned by the virtual greenhouse."/>
      </w:tblPr>
      <w:tblGrid>
        <w:gridCol w:w="2492"/>
        <w:gridCol w:w="2714"/>
        <w:gridCol w:w="2714"/>
      </w:tblGrid>
      <w:tr>
        <w:trPr>
          <w:tblHeader w:val="on"/>
        </w:trPr>
        <w:tc>
          <w:tcPr>
            <w:vAlign w:val="top"/>
          </w:tcPr>
          <w:p>
            <w:pPr>
              <w:pStyle w:val="MDPI42tablebody"/>
              <w:suppressAutoHyphens/>
              <w:jc w:val="left"/>
            </w:pPr>
          </w:p>
        </w:tc>
        <w:tc>
          <w:tcPr>
            <w:vAlign w:val="top"/>
          </w:tcPr>
          <w:p>
            <w:pPr>
              <w:pStyle w:val="MDPI42tablebody"/>
              <w:suppressAutoHyphens/>
              <w:jc w:val="left"/>
            </w:pPr>
            <w:r>
              <w:rPr>
                <w:i/>
                <w:iCs/>
              </w:rPr>
              <w:t xml:space="preserve">Safeguard 1</w:t>
            </w:r>
            <w:r>
              <w:t xml:space="preserve">: tuned baseline</w:t>
            </w:r>
          </w:p>
        </w:tc>
        <w:tc>
          <w:tcPr>
            <w:vAlign w:val="top"/>
          </w:tcPr>
          <w:p>
            <w:pPr>
              <w:pStyle w:val="MDPI42tablebody"/>
              <w:suppressAutoHyphens/>
              <w:jc w:val="left"/>
            </w:pPr>
            <w:r>
              <w:rPr>
                <w:i/>
                <w:iCs/>
              </w:rPr>
              <w:t xml:space="preserve">Safeguard 2</w:t>
            </w:r>
            <w:r>
              <w:t xml:space="preserve">: price-aligned stage cost</w:t>
            </w:r>
          </w:p>
        </w:tc>
      </w:tr>
      <w:tr>
        <w:tc>
          <w:tcPr>
            <w:vAlign w:val="top"/>
          </w:tcPr>
          <w:p>
            <w:pPr>
              <w:pStyle w:val="MDPI42tablebody"/>
              <w:suppressAutoHyphens/>
              <w:spacing w:after="40"/>
              <w:jc w:val="left"/>
            </w:pPr>
            <w:r>
              <w:t xml:space="preserve">Risk controlled</w:t>
            </w:r>
          </w:p>
        </w:tc>
        <w:tc>
          <w:tcPr>
            <w:vAlign w:val="top"/>
          </w:tcPr>
          <w:p>
            <w:pPr>
              <w:pStyle w:val="MDPI42tablebody"/>
              <w:suppressAutoHyphens/>
              <w:spacing w:after="40"/>
              <w:jc w:val="left"/>
            </w:pPr>
            <w:r>
              <w:t xml:space="preserve">comparison with an otherwise credible but unsearched agronomic heuristic</w:t>
            </w:r>
          </w:p>
        </w:tc>
        <w:tc>
          <w:tcPr>
            <w:vAlign w:val="top"/>
          </w:tcPr>
          <w:p>
            <w:pPr>
              <w:pStyle w:val="MDPI42tablebody"/>
              <w:suppressAutoHyphens/>
              <w:spacing w:after="40"/>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vAlign w:val="top"/>
          </w:tcPr>
          <w:p>
            <w:pPr>
              <w:pStyle w:val="MDPI42tablebody"/>
              <w:suppressAutoHyphens/>
              <w:spacing w:after="40"/>
              <w:jc w:val="left"/>
            </w:pPr>
            <w:r>
              <w:t xml:space="preserve">Implementation</w:t>
            </w:r>
          </w:p>
        </w:tc>
        <w:tc>
          <w:tcPr>
            <w:vAlign w:val="top"/>
          </w:tcPr>
          <w:p>
            <w:pPr>
              <w:pStyle w:val="MDPI42tablebody"/>
              <w:suppressAutoHyphens/>
              <w:spacing w:after="40"/>
              <w:jc w:val="left"/>
            </w:pPr>
            <w:r>
              <w:t xml:space="preserve">16 random trials, the budget the reinforcement-learning agents received; selection on training years only. The MPCs received no search at all, an asymmetry running against them</w:t>
            </w:r>
          </w:p>
        </w:tc>
        <w:tc>
          <w:tcPr>
            <w:vAlign w:val="top"/>
          </w:tcPr>
          <w:p>
            <w:pPr>
              <w:pStyle w:val="MDPI42tablebody"/>
              <w:suppressAutoHyphens/>
              <w:spacing w:after="40"/>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vAlign w:val="top"/>
          </w:tcPr>
          <w:p>
            <w:pPr>
              <w:pStyle w:val="MDPI42tablebody"/>
              <w:suppressAutoHyphens/>
              <w:spacing w:after="40"/>
              <w:jc w:val="left"/>
            </w:pPr>
            <w:r>
              <w:t xml:space="preserve">Direct effect</w:t>
            </w:r>
          </w:p>
        </w:tc>
        <w:tc>
          <w:tcPr>
            <w:vAlign w:val="top"/>
          </w:tcPr>
          <w:p>
            <w:pPr>
              <w:pStyle w:val="MDPI42tablebody"/>
              <w:suppressAutoHyphens/>
              <w:spacing w:after="40"/>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vAlign w:val="top"/>
          </w:tcPr>
          <w:p>
            <w:pPr>
              <w:pStyle w:val="MDPI42tablebody"/>
              <w:suppressAutoHyphens/>
              <w:spacing w:after="40"/>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vAlign w:val="top"/>
          </w:tcPr>
          <w:p>
            <w:pPr>
              <w:pStyle w:val="MDPI42tablebody"/>
              <w:suppressAutoHyphens/>
              <w:spacing w:after="40"/>
              <w:jc w:val="left"/>
            </w:pPr>
            <w:r>
              <w:t xml:space="preserve">Effect on the comparison</w:t>
            </w:r>
          </w:p>
        </w:tc>
        <w:tc>
          <w:tcPr>
            <w:vAlign w:val="top"/>
          </w:tcPr>
          <w:p>
            <w:pPr>
              <w:pStyle w:val="MDPI42tablebody"/>
              <w:suppressAutoHyphens/>
              <w:spacing w:after="40"/>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vAlign w:val="top"/>
          </w:tcPr>
          <w:p>
            <w:pPr>
              <w:pStyle w:val="MDPI42tablebody"/>
              <w:suppressAutoHyphens/>
              <w:spacing w:after="40"/>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vAlign w:val="top"/>
          </w:tcPr>
          <w:p>
            <w:pPr>
              <w:pStyle w:val="MDPI42tablebody"/>
              <w:suppressAutoHyphens/>
              <w:spacing w:after="40"/>
              <w:jc w:val="left"/>
            </w:pPr>
            <w:r>
              <w:t xml:space="preserve">Also changed</w:t>
            </w:r>
          </w:p>
        </w:tc>
        <w:tc>
          <w:tcPr>
            <w:vAlign w:val="top"/>
          </w:tcPr>
          <w:p>
            <w:pPr>
              <w:pStyle w:val="MDPI42tablebody"/>
              <w:suppressAutoHyphens/>
              <w:spacing w:after="40"/>
              <w:jc w:val="left"/>
            </w:pPr>
            <w:r>
              <w:t xml:space="preserve">the heuristic moves onto the two-axis front, which it had not held untuned</w:t>
            </w:r>
          </w:p>
        </w:tc>
        <w:tc>
          <w:tcPr>
            <w:vAlign w:val="top"/>
          </w:tcPr>
          <w:p>
            <w:pPr>
              <w:pStyle w:val="MDPI42tablebody"/>
              <w:suppressAutoHyphens/>
              <w:spacing w:after="40"/>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MDPI52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MDPI51figurecaption"/>
      </w:pPr>
      <w:r>
        <w:rPr>
          <w:b/>
        </w:rPr>
        <w:t xml:space="preserve">Figure 5. </w:t>
      </w: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MDPI21heading1"/>
      </w:pPr>
      <w:r>
        <w:t xml:space="preserve">5. </w:t>
      </w:r>
      <w:r>
        <w:t xml:space="preserve">Conclusions</w:t>
      </w:r>
    </w:p>
    <w:p>
      <w:pPr>
        <w:pStyle w:val="MDPI31text"/>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rather than conditioning alone, best tracks the non-monotone economic</w:t>
      </w:r>
      <w:r>
        <w:t xml:space="preserve"> </w:t>
      </w:r>
      <w:r>
        <w:t xml:space="preserve">outcome (Graphical Abstract).</w:t>
      </w:r>
    </w:p>
    <w:p>
      <w:pPr>
        <w:pStyle w:val="MDPI31text"/>
      </w:pPr>
      <w:r>
        <w:t xml:space="preserve">One-step accuracy and multi-step stability rank the candidate</w:t>
      </w:r>
      <w:r>
        <w:t xml:space="preserve"> </w:t>
      </w:r>
      <w:r>
        <w:t xml:space="preserve">models in opposite orders. 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(pooled over all 72 labels the raw library also predicts</w:t>
      </w:r>
      <w:r>
        <w:t xml:space="preserve"> </w:t>
      </w:r>
      <w:r>
        <w:t xml:space="preserve">better one step ahead), but it reproduces on a held-out year</w:t>
      </w:r>
      <w:r>
        <w:t xml:space="preserve"> </w:t>
      </w:r>
      <w:r>
        <w:t xml:space="preserve">[17,19–21,24].</w:t>
      </w:r>
    </w:p>
    <w:p>
      <w:pPr>
        <w:pStyle w:val="MDPI31text"/>
      </w:pPr>
      <w:r>
        <w:t xml:space="preserve">The library selected by multi-step stability also gives the best</w:t>
      </w:r>
      <w:r>
        <w:t xml:space="preserve"> </w:t>
      </w:r>
      <w:r>
        <w:t xml:space="preserve">simulated closed-loop economics under the benchmarking safeguards. Across</w:t>
      </w:r>
      <w:r>
        <w:t xml:space="preserve"> </w:t>
      </w:r>
      <w:r>
        <w:t xml:space="preserve">15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both contrasts hold on per-seed</w:t>
      </w:r>
      <w:r>
        <w:t xml:space="preserve"> </w:t>
      </w:r>
      <w:r>
        <w:t xml:space="preserve">means, the unit at which the surrogates are independent (16 of 20 and 19 of 20</w:t>
      </w:r>
      <w:r>
        <w:t xml:space="preserve"> </w:t>
      </w:r>
      <w:r>
        <w:t xml:space="preserve">replicates).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so the magnitude of the advantage depends on baseline</w:t>
      </w:r>
      <w:r>
        <w:t xml:space="preserve"> </w:t>
      </w:r>
      <w:r>
        <w:t xml:space="preserve">tuning and economic weighting while its direction is unchanged.</w:t>
      </w:r>
    </w:p>
    <w:p>
      <w:pPr>
        <w:pStyle w:val="MDPI31text"/>
      </w:pPr>
      <w:r>
        <w:t xml:space="preserve">Physically motivated features can reduce performance non-monotonically.</w:t>
      </w:r>
      <w:r>
        <w:t xml:space="preserve"> </w:t>
      </w:r>
      <w:r>
        <w:t xml:space="preserve">Changing the feature library alone (same estimator, threshold and seeds), the</w:t>
      </w:r>
      <w:r>
        <w:t xml:space="preserve"> </w:t>
      </w:r>
      <w:r>
        <w:t xml:space="preserve">condition number rises 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 vary monotonically with them,</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and the</w:t>
      </w:r>
      <w:r>
        <w:t xml:space="preserve"> </w:t>
      </w:r>
      <w:r>
        <w:t xml:space="preserve">worst-conditioned library exceeds the intermediate one almost tenfold. The</w:t>
      </w:r>
      <w:r>
        <w:t xml:space="preserve"> </w:t>
      </w:r>
      <w:r>
        <w:t xml:space="preserve">raw-over-physics direction reproduces under the other estimator, for which the</w:t>
      </w:r>
      <w:r>
        <w:t xml:space="preserve"> </w:t>
      </w:r>
      <w:r>
        <w:t xml:space="preserve">intermediate library was not run.</w:t>
      </w:r>
      <w:r>
        <w:t xml:space="preserve"> </w:t>
      </w:r>
      <w:r>
        <w:t xml:space="preserve">Conditioning predicts open-loop stability but does not order closed-loop</w:t>
      </w:r>
      <w:r>
        <w:t xml:space="preserve"> </w:t>
      </w:r>
      <w:r>
        <w:t xml:space="preserve">economics [28–29,47].</w:t>
      </w:r>
    </w:p>
    <w:p>
      <w:pPr>
        <w:pStyle w:val="MDPI31text"/>
      </w:pPr>
      <w:r>
        <w:t xml:space="preserve">The closed-loop outcome follows whether the actuator pathway</w:t>
      </w:r>
      <w:r>
        <w:t xml:space="preserve"> </w:t>
      </w:r>
      <w:r>
        <w:t xml:space="preserve">survives thresholding. 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(the same order as the margins) and</w:t>
      </w:r>
      <w:r>
        <w:t xml:space="preserve"> </w:t>
      </w:r>
      <w:r>
        <w:t xml:space="preserve">in</w:t>
      </w:r>
      <w:r>
        <w:t xml:space="preserve"> </w:t>
      </w:r>
      <m:oMath>
        <m:r>
          <m:t>40</m:t>
        </m:r>
        <m:r>
          <m:t> </m:t>
        </m:r>
        <m:r>
          <m:rPr>
            <m:sty m:val="p"/>
          </m:rPr>
          <m:t>%</m:t>
        </m:r>
      </m:oMath>
      <w:r>
        <w:t xml:space="preserve"> </w:t>
      </w:r>
      <w:r>
        <w:t xml:space="preserve">of fits of the 17-feature deletion library, whose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points the same way but is not significant at the level</w:t>
      </w:r>
      <w:r>
        <w:t xml:space="preserve"> </w:t>
      </w:r>
      <w:r>
        <w:t xml:space="preserve">of replicates (</w:t>
      </w:r>
      <m:oMath>
        <m:r>
          <m:t>p</m:t>
        </m:r>
        <m:r>
          <m:rPr>
            <m:sty m:val="p"/>
          </m:rPr>
          <m:t>=</m:t>
        </m:r>
        <m:r>
          <m:t>0.18</m:t>
        </m:r>
      </m:oMath>
      <w:r>
        <w:t xml:space="preserve">, 3 against 17). Deleting the</w:t>
      </w:r>
      <w:r>
        <w:t xml:space="preserve"> </w:t>
      </w:r>
      <w:r>
        <w:t xml:space="preserve">single bilinear temperature–boiler feature from the full library did not produce the</w:t>
      </w:r>
      <w:r>
        <w:t xml:space="preserve"> </w:t>
      </w:r>
      <w:r>
        <w:t xml:space="preserve">predicted collapse, so that candidate detour explanation is rejected. Why the middle</w:t>
      </w:r>
      <w:r>
        <w:t xml:space="preserve"> </w:t>
      </w:r>
      <w:r>
        <w:t xml:space="preserve">library loses the term remains an open question, whereas</w:t>
      </w:r>
      <w:r>
        <w:t xml:space="preserve"> </w:t>
      </w:r>
      <w:r>
        <w:t xml:space="preserve">the dependence of the closed-loop outcome on survival of the term is established by</w:t>
      </w:r>
      <w:r>
        <w:t xml:space="preserve"> </w:t>
      </w:r>
      <w:r>
        <w:t xml:space="preserve">the knock-in ablation.</w:t>
      </w:r>
    </w:p>
    <w:p>
      <w:pPr>
        <w:pStyle w:val="MDPI31text"/>
      </w:pPr>
      <w:r>
        <w:t xml:space="preserve">The advantage is neither Pareto-dominant nor unconditional. The</w:t>
      </w:r>
      <w:r>
        <w:t xml:space="preserve"> </w:t>
      </w:r>
      <w:r>
        <w:t xml:space="preserve">margin–violation front holds five of the 15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All results are from simulation at one location and one</w:t>
      </w:r>
      <w:r>
        <w:t xml:space="preserve"> </w:t>
      </w:r>
      <w:r>
        <w:t xml:space="preserve">planting date, with reproducibility established within one computing environment only.</w:t>
      </w:r>
    </w:p>
    <w:p>
      <w:pPr>
        <w:pStyle w:val="MDPI31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MDPI31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MDPI41tablecaption"/>
      </w:pPr>
      <w:r>
        <w:rPr>
          <w:b/>
        </w:rPr>
        <w:t xml:space="preserve">Table 16. </w:t>
      </w:r>
      <w:r>
        <w:t xml:space="preserve">Headline quantities of the study and the result files they are read</w:t>
      </w:r>
      <w:r>
        <w:t xml:space="preserve"> </w:t>
      </w:r>
      <w:r>
        <w:t xml:space="preserve">from. All paths are relative to the results tree,</w:t>
      </w:r>
      <w:r>
        <w:t xml:space="preserve"> </w:t>
      </w:r>
      <w:r>
        <w:rPr>
          <w:rStyle w:val="VerbatimChar"/>
        </w:rPr>
        <w:t xml:space="preserve">regen/results/</w:t>
      </w:r>
      <w:r>
        <w:t xml:space="preserve"> </w:t>
      </w:r>
      <w:r>
        <w:t xml:space="preserve">in the</w:t>
      </w:r>
      <w:r>
        <w:t xml:space="preserve"> </w:t>
      </w:r>
      <w:r>
        <w:t xml:space="preserve">archived replication package.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MDPI41threelinetable"/>
        <w:tblW w:type="pct" w:w="5000"/>
        <w:tblLayout w:type="fixed"/>
        <w:tblLook w:firstRow="1" w:lastRow="0" w:firstColumn="0" w:lastColumn="0" w:noHBand="0" w:noVBand="0" w:val="0020"/>
        <w:tblCaption w:val="Headline quantities of the study and the result files they are read from. All paths are relative to the results tree, regen/results/ in the archived replication package.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864"/>
        <w:gridCol w:w="2359"/>
        <w:gridCol w:w="2695"/>
      </w:tblGrid>
      <w:tr>
        <w:trPr>
          <w:tblHeader w:val="on"/>
        </w:trPr>
        <w:tc>
          <w:tcPr>
            <w:vAlign w:val="top"/>
          </w:tcPr>
          <w:p>
            <w:pPr>
              <w:pStyle w:val="MDPI42tablebody"/>
              <w:suppressAutoHyphens/>
              <w:jc w:val="left"/>
            </w:pPr>
            <w:r>
              <w:t xml:space="preserve">Quantity</w:t>
            </w:r>
          </w:p>
        </w:tc>
        <w:tc>
          <w:tcPr>
            <w:vAlign w:val="top"/>
          </w:tcPr>
          <w:p>
            <w:pPr>
              <w:pStyle w:val="MDPI42tablebody"/>
              <w:suppressAutoHyphens/>
              <w:jc w:val="center"/>
            </w:pPr>
            <w:r>
              <w:t xml:space="preserve">Value</w:t>
            </w:r>
          </w:p>
        </w:tc>
        <w:tc>
          <w:tcPr>
            <w:vAlign w:val="top"/>
          </w:tcPr>
          <w:p>
            <w:pPr>
              <w:pStyle w:val="MDPI42tablebody"/>
              <w:suppressAutoHyphens/>
              <w:jc w:val="left"/>
            </w:pPr>
            <w:r>
              <w:t xml:space="preserve">Source file</w:t>
            </w:r>
          </w:p>
        </w:tc>
      </w:tr>
      <w:tr>
        <w:tc>
          <w:tcPr>
            <w:gridSpan w:val="3"/>
            <w:vAlign w:val="center"/>
          </w:tcPr>
          <w:p>
            <w:pPr>
              <w:pStyle w:val="MDPI42tablebody"/>
              <w:keepNext/>
              <w:suppressAutoHyphens/>
              <w:spacing w:before="60"/>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vAlign w:val="top"/>
          </w:tcPr>
          <w:p>
            <w:pPr>
              <w:pStyle w:val="MDPI42tablebody"/>
              <w:suppressAutoHyphens/>
              <w:spacing w:after="40"/>
              <w:jc w:val="left"/>
            </w:pPr>
            <w:r>
              <w:t xml:space="preserve">One-step RMSE,</w:t>
            </w:r>
            <w:r>
              <w:t xml:space="preserve"> </w:t>
            </w:r>
            <m:oMath>
              <m:sSub>
                <m:e>
                  <m:r>
                    <m:t>T</m:t>
                  </m:r>
                </m:e>
                <m:sub>
                  <m:r>
                    <m:rPr>
                      <m:sty m:val="p"/>
                    </m:rPr>
                    <m:t>in</m:t>
                  </m:r>
                </m:sub>
              </m:sSub>
            </m:oMath>
            <w:r>
              <w:t xml:space="preserve"> </w:t>
            </w:r>
            <w:r>
              <w:t xml:space="preserve">(°C)</w:t>
            </w:r>
          </w:p>
        </w:tc>
        <w:tc>
          <w:tcPr>
            <w:vAlign w:val="top"/>
          </w:tcPr>
          <w:p>
            <w:pPr>
              <w:pStyle w:val="MDPI42tablebody"/>
              <w:suppressAutoHyphens/>
              <w:spacing w:after="40"/>
              <w:jc w:val="center"/>
            </w:pPr>
            <w:r>
              <w:t xml:space="preserve">1.86 / 1.73 / 1.68</w:t>
            </w:r>
          </w:p>
        </w:tc>
        <w:tc>
          <w:tcPr>
            <w:vAlign w:val="top"/>
          </w:tcPr>
          <w:p>
            <w:pPr>
              <w:pStyle w:val="MDPI42tablebody"/>
              <w:suppressAutoHyphens/>
              <w:spacing w:after="40"/>
              <w:jc w:val="left"/>
            </w:pPr>
            <w:r>
              <w:rPr>
                <w:rStyle w:val="VerbatimChar"/>
              </w:rPr>
              <w:t xml:space="preserve">ladder_rerun/​ladder_rerun*.csv</w:t>
            </w:r>
          </w:p>
        </w:tc>
      </w:tr>
      <w:tr>
        <w:tc>
          <w:tcPr>
            <w:vAlign w:val="top"/>
          </w:tcPr>
          <w:p>
            <w:pPr>
              <w:pStyle w:val="MDPI42tablebody"/>
              <w:suppressAutoHyphens/>
              <w:spacing w:after="40"/>
              <w:jc w:val="left"/>
            </w:pPr>
            <w:r>
              <w:t xml:space="preserve">Median 24 h rollout RMSE (°C)</w:t>
            </w:r>
          </w:p>
        </w:tc>
        <w:tc>
          <w:tcPr>
            <w:vAlign w:val="top"/>
          </w:tcPr>
          <w:p>
            <w:pPr>
              <w:pStyle w:val="MDPI42tablebody"/>
              <w:suppressAutoHyphens/>
              <w:spacing w:after="40"/>
              <w:jc w:val="center"/>
            </w:pPr>
            <w:r>
              <w:t xml:space="preserve">2.67 / 10.58 / 24.27</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Divergence fraction</w:t>
            </w:r>
          </w:p>
        </w:tc>
        <w:tc>
          <w:tcPr>
            <w:vAlign w:val="top"/>
          </w:tcPr>
          <w:p>
            <w:pPr>
              <w:pStyle w:val="MDPI42tablebody"/>
              <w:suppressAutoHyphens/>
              <w:spacing w:after="40"/>
              <w:jc w:val="center"/>
            </w:pPr>
            <w:r>
              <w:t xml:space="preserve">0.000 / 0.020 / 0.076</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Condition number</w:t>
            </w:r>
            <w:r>
              <w:t xml:space="preserve"> </w:t>
            </w:r>
            <m:oMath>
              <m:r>
                <m:t>κ</m:t>
              </m:r>
            </m:oMath>
          </w:p>
        </w:tc>
        <w:tc>
          <w:tcPr>
            <w:vAlign w:val="top"/>
          </w:tcPr>
          <w:p>
            <w:pPr>
              <w:pStyle w:val="MDPI42tablebody"/>
              <w:suppressAutoHyphens/>
              <w:spacing w:after="40"/>
              <w:jc w:val="center"/>
            </w:pPr>
            <w:r>
              <w:t xml:space="preserve">8.21 / 24.52 / 53.43</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Non-zero terms</w:t>
            </w:r>
          </w:p>
        </w:tc>
        <w:tc>
          <w:tcPr>
            <w:vAlign w:val="top"/>
          </w:tcPr>
          <w:p>
            <w:pPr>
              <w:pStyle w:val="MDPI42tablebody"/>
              <w:suppressAutoHyphens/>
              <w:spacing w:after="40"/>
              <w:jc w:val="center"/>
            </w:pPr>
            <w:r>
              <w:t xml:space="preserve">20.1 / 28.2 / 37.0</w:t>
            </w:r>
          </w:p>
        </w:tc>
        <w:tc>
          <w:tcPr>
            <w:vAlign w:val="top"/>
          </w:tcPr>
          <w:p>
            <w:pPr>
              <w:pStyle w:val="MDPI42tablebody"/>
              <w:suppressAutoHyphens/>
              <w:spacing w:after="40"/>
              <w:jc w:val="left"/>
            </w:pPr>
            <w:r>
              <w:t xml:space="preserve">as above</w:t>
            </w:r>
          </w:p>
        </w:tc>
      </w:tr>
      <w:tr>
        <w:tc>
          <w:tcPr>
            <w:gridSpan w:val="3"/>
            <w:vAlign w:val="center"/>
          </w:tcPr>
          <w:p>
            <w:pPr>
              <w:pStyle w:val="MDPI42tablebody"/>
              <w:keepNext/>
              <w:suppressAutoHyphens/>
              <w:spacing w:before="60"/>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 library, zero truncated runs). Only the feature library differs between these three controllers.</w:t>
            </w:r>
          </w:p>
        </w:tc>
      </w:tr>
      <w:tr>
        <w:tc>
          <w:tcPr>
            <w:vAlign w:val="top"/>
          </w:tcPr>
          <w:p>
            <w:pPr>
              <w:pStyle w:val="MDPI42tablebody"/>
              <w:suppressAutoHyphens/>
              <w:spacing w:after="40"/>
              <w:jc w:val="left"/>
            </w:pPr>
            <w:r>
              <w:t xml:space="preserve">Closed-loop EPI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vAlign w:val="top"/>
          </w:tcPr>
          <w:p>
            <w:pPr>
              <w:pStyle w:val="MDPI42tablebody"/>
              <w:suppressAutoHyphens/>
              <w:spacing w:after="40"/>
              <w:jc w:val="left"/>
            </w:pPr>
            <w:r>
              <w:rPr>
                <w:rStyle w:val="VerbatimChar"/>
              </w:rPr>
              <w:t xml:space="preserve">priced_main/*.csv</w:t>
            </w:r>
            <w:r>
              <w:t xml:space="preserve">,</w:t>
            </w:r>
            <w:r>
              <w:t xml:space="preserve"> </w:t>
            </w:r>
            <w:r>
              <w:rPr>
                <w:rStyle w:val="VerbatimChar"/>
              </w:rPr>
              <w:t xml:space="preserve">phys_lib/​main_physlib.csv</w:t>
            </w:r>
          </w:p>
        </w:tc>
      </w:tr>
      <w:tr>
        <w:tc>
          <w:tcPr>
            <w:vAlign w:val="top"/>
          </w:tcPr>
          <w:p>
            <w:pPr>
              <w:pStyle w:val="MDPI42tablebody"/>
              <w:suppressAutoHyphens/>
              <w:spacing w:after="40"/>
              <w:jc w:val="left"/>
            </w:pPr>
            <w:r>
              <w:t xml:space="preserve">Boiler-term survival</w:t>
            </w:r>
            <m:oMath>
              <m:sSup>
                <m:e>
                  <m:r>
                    <m:t>​</m:t>
                  </m:r>
                </m:e>
                <m:sup>
                  <m:r>
                    <m:t>b</m:t>
                  </m:r>
                </m:sup>
              </m:sSup>
            </m:oMath>
          </w:p>
        </w:tc>
        <w:tc>
          <w:tcPr>
            <w:vAlign w:val="top"/>
          </w:tcPr>
          <w:p>
            <w:pPr>
              <w:pStyle w:val="MDPI42tablebody"/>
              <w:suppressAutoHyphens/>
              <w:spacing w:after="40"/>
              <w:jc w:val="center"/>
            </w:pPr>
            <w:r>
              <w:t xml:space="preserve">0.55 / 0.15 / 0.55</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The same change under STLSQ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3.83</m:t>
              </m:r>
            </m:oMath>
            <w:r>
              <w:t xml:space="preserve"> </w:t>
            </w:r>
            <w:r>
              <w:t xml:space="preserve">/ – /</w:t>
            </w:r>
            <w:r>
              <w:t xml:space="preserve"> </w:t>
            </w:r>
            <m:oMath>
              <m:r>
                <m:rPr>
                  <m:sty m:val="p"/>
                </m:rPr>
                <m:t>+</m:t>
              </m:r>
              <m:r>
                <m:t>2.48</m:t>
              </m:r>
            </m:oMath>
          </w:p>
        </w:tc>
        <w:tc>
          <w:tcPr>
            <w:vAlign w:val="top"/>
          </w:tcPr>
          <w:p>
            <w:pPr>
              <w:pStyle w:val="MDPI42tablebody"/>
              <w:suppressAutoHyphens/>
              <w:spacing w:after="40"/>
              <w:jc w:val="left"/>
            </w:pPr>
            <w:r>
              <w:t xml:space="preserve">as above</w:t>
            </w:r>
          </w:p>
        </w:tc>
      </w:tr>
      <w:tr>
        <w:tc>
          <w:tcPr>
            <w:gridSpan w:val="3"/>
            <w:vAlign w:val="center"/>
          </w:tcPr>
          <w:p>
            <w:pPr>
              <w:pStyle w:val="MDPI42tablebody"/>
              <w:keepNext/>
              <w:suppressAutoHyphens/>
              <w:spacing w:before="60"/>
              <w:jc w:val="left"/>
            </w:pPr>
            <w:r>
              <w:rPr>
                <w:i/>
                <w:iCs/>
              </w:rPr>
              <w:t xml:space="preserve">Four test seasons 2020–2023</w:t>
            </w:r>
            <w:r>
              <w:t xml:space="preserve">, 15 controllers (</w:t>
            </w:r>
            <m:oMath>
              <m:r>
                <m:t>n</m:t>
              </m:r>
              <m:r>
                <m:rPr>
                  <m:sty m:val="p"/>
                </m:rPr>
                <m:t>=</m:t>
              </m:r>
              <m:r>
                <m:t>80</m:t>
              </m:r>
            </m:oMath>
            <w:r>
              <w:t xml:space="preserve"> </w:t>
            </w:r>
            <w:r>
              <w:t xml:space="preserve">unless stated). MPC rows use the priced stage cost; PPO, SAC, the heuristic and the full-model planner have no MPC stage cost and are quoted from the canonical wave.</w:t>
            </w:r>
          </w:p>
        </w:tc>
      </w:tr>
      <w:tr>
        <w:tc>
          <w:tcPr>
            <w:vAlign w:val="top"/>
          </w:tcPr>
          <w:p>
            <w:pPr>
              <w:pStyle w:val="MDPI42tablebody"/>
              <w:suppressAutoHyphens/>
              <w:spacing w:after="40"/>
              <w:jc w:val="left"/>
            </w:pPr>
            <w:r>
              <w:t xml:space="preserve">Raw-library ensemble MPC (EUR m</w:t>
            </w:r>
            <m:oMath>
              <m:sSup>
                <m:e>
                  <m:r>
                    <m:t>​</m:t>
                  </m:r>
                </m:e>
                <m:sup>
                  <m:r>
                    <m:rPr>
                      <m:sty m:val="p"/>
                    </m:rPr>
                    <m:t>−</m:t>
                  </m:r>
                  <m:r>
                    <m:t>2</m:t>
                  </m:r>
                </m:sup>
              </m:sSup>
            </m:oMath>
            <w:r>
              <w:t xml:space="preserve">; violation steps)</w:t>
            </w:r>
          </w:p>
        </w:tc>
        <w:tc>
          <w:tcPr>
            <w:vAlign w:val="top"/>
          </w:tcPr>
          <w:p>
            <w:pPr>
              <w:pStyle w:val="MDPI42tablebody"/>
              <w:suppressAutoHyphens/>
              <w:spacing w:after="40"/>
              <w:jc w:val="center"/>
            </w:pPr>
            <m:oMath>
              <m:r>
                <m:rPr>
                  <m:sty m:val="p"/>
                </m:rPr>
                <m:t>+</m:t>
              </m:r>
              <m:r>
                <m:t>4.32</m:t>
              </m:r>
              <m:r>
                <m:rPr>
                  <m:sty m:val="p"/>
                </m:rPr>
                <m:t>±</m:t>
              </m:r>
              <m:r>
                <m:t>4.08</m:t>
              </m:r>
            </m:oMath>
            <w:r>
              <w:t xml:space="preserve">; 4130</w:t>
            </w:r>
          </w:p>
        </w:tc>
        <w:tc>
          <w:tcPr>
            <w:vAlign w:val="top"/>
          </w:tcPr>
          <w:p>
            <w:pPr>
              <w:pStyle w:val="MDPI42tablebody"/>
              <w:suppressAutoHyphens/>
              <w:spacing w:after="40"/>
              <w:jc w:val="left"/>
            </w:pPr>
            <w:r>
              <w:rPr>
                <w:rStyle w:val="VerbatimChar"/>
              </w:rPr>
              <w:t xml:space="preserve">priced_main/*.csv</w:t>
            </w:r>
          </w:p>
        </w:tc>
      </w:tr>
      <w:tr>
        <w:tc>
          <w:tcPr>
            <w:vAlign w:val="top"/>
          </w:tcPr>
          <w:p>
            <w:pPr>
              <w:pStyle w:val="MDPI42tablebody"/>
              <w:suppressAutoHyphens/>
              <w:spacing w:after="40"/>
              <w:jc w:val="left"/>
            </w:pPr>
            <w:r>
              <w:t xml:space="preserve">Best physics-informed MPC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3.09</m:t>
              </m:r>
              <m:r>
                <m:rPr>
                  <m:sty m:val="p"/>
                </m:rPr>
                <m:t>±</m:t>
              </m:r>
              <m:r>
                <m:t>2.71</m:t>
              </m:r>
            </m:oMath>
            <w:r>
              <w:t xml:space="preserve">​</w:t>
            </w:r>
          </w:p>
        </w:tc>
        <w:tc>
          <w:tcPr>
            <w:vAlign w:val="top"/>
          </w:tcPr>
          <w:p>
            <w:pPr>
              <w:pStyle w:val="MDPI42tablebody"/>
              <w:suppressAutoHyphens/>
              <w:spacing w:after="40"/>
              <w:jc w:val="left"/>
            </w:pPr>
            <w:r>
              <w:rPr>
                <w:rStyle w:val="VerbatimChar"/>
              </w:rPr>
              <w:t xml:space="preserve">priced_main/*.csv</w:t>
            </w:r>
          </w:p>
        </w:tc>
      </w:tr>
      <w:tr>
        <w:tc>
          <w:tcPr>
            <w:vAlign w:val="top"/>
          </w:tcPr>
          <w:p>
            <w:pPr>
              <w:pStyle w:val="MDPI42tablebody"/>
              <w:suppressAutoHyphens/>
              <w:spacing w:after="40"/>
              <w:jc w:val="left"/>
            </w:pPr>
            <w:r>
              <w:t xml:space="preserve">Raw ensemble vs. that variant</w:t>
            </w:r>
          </w:p>
        </w:tc>
        <w:tc>
          <w:tcPr>
            <w:vAlign w:val="top"/>
          </w:tcPr>
          <w:p>
            <w:pPr>
              <w:pStyle w:val="MDPI42tablebody"/>
              <w:suppressAutoHyphens/>
              <w:spacing w:after="40"/>
              <w:jc w:val="center"/>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vAlign w:val="top"/>
          </w:tcPr>
          <w:p>
            <w:pPr>
              <w:pStyle w:val="MDPI42tablebody"/>
              <w:suppressAutoHyphens/>
              <w:spacing w:after="40"/>
              <w:jc w:val="left"/>
            </w:pPr>
            <w:r>
              <w:t xml:space="preserve">recomputed over the family of 15</w:t>
            </w:r>
          </w:p>
        </w:tc>
      </w:tr>
      <w:tr>
        <w:tc>
          <w:tcPr>
            <w:vAlign w:val="top"/>
          </w:tcPr>
          <w:p>
            <w:pPr>
              <w:pStyle w:val="MDPI42tablebody"/>
              <w:suppressAutoHyphens/>
              <w:spacing w:after="40"/>
              <w:jc w:val="left"/>
            </w:pPr>
            <w:r>
              <w:t xml:space="preserve">Tuned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Stock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PPO (EUR m</w:t>
            </w:r>
            <m:oMath>
              <m:sSup>
                <m:e>
                  <m:r>
                    <m:t>​</m:t>
                  </m:r>
                </m:e>
                <m:sup>
                  <m:r>
                    <m:rPr>
                      <m:sty m:val="p"/>
                    </m:rPr>
                    <m:t>−</m:t>
                  </m:r>
                  <m:r>
                    <m:t>2</m:t>
                  </m:r>
                </m:sup>
              </m:sSup>
            </m:oMath>
            <w:r>
              <w:t xml:space="preserve">; violation steps)</w:t>
            </w:r>
          </w:p>
        </w:tc>
        <w:tc>
          <w:tcPr>
            <w:vAlign w:val="top"/>
          </w:tcPr>
          <w:p>
            <w:pPr>
              <w:pStyle w:val="MDPI42tablebody"/>
              <w:suppressAutoHyphens/>
              <w:spacing w:after="40"/>
              <w:jc w:val="center"/>
            </w:pPr>
            <m:oMath>
              <m:r>
                <m:rPr>
                  <m:sty m:val="p"/>
                </m:rPr>
                <m:t>+</m:t>
              </m:r>
              <m:r>
                <m:t>0.45</m:t>
              </m:r>
              <m:r>
                <m:rPr>
                  <m:sty m:val="p"/>
                </m:rPr>
                <m:t>±</m:t>
              </m:r>
              <m:r>
                <m:t>2.97</m:t>
              </m:r>
            </m:oMath>
            <w:r>
              <w:t xml:space="preserve">; 1330</w:t>
            </w:r>
          </w:p>
        </w:tc>
        <w:tc>
          <w:tcPr>
            <w:vAlign w:val="top"/>
          </w:tcPr>
          <w:p>
            <w:pPr>
              <w:pStyle w:val="MDPI42tablebody"/>
              <w:suppressAutoHyphens/>
              <w:spacing w:after="40"/>
              <w:jc w:val="left"/>
            </w:pPr>
            <w:r>
              <w:rPr>
                <w:rStyle w:val="VerbatimChar"/>
              </w:rPr>
              <w:t xml:space="preserve">final/main.csv</w:t>
            </w:r>
          </w:p>
        </w:tc>
      </w:tr>
      <w:tr>
        <w:tc>
          <w:tcPr>
            <w:gridSpan w:val="3"/>
            <w:vAlign w:val="center"/>
          </w:tcPr>
          <w:p>
            <w:pPr>
              <w:pStyle w:val="MDPI42tablebody"/>
              <w:keepNext/>
              <w:suppressAutoHyphens/>
              <w:spacing w:before="60"/>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vAlign w:val="top"/>
          </w:tcPr>
          <w:p>
            <w:pPr>
              <w:pStyle w:val="MDPI42tablebody"/>
              <w:suppressAutoHyphens/>
              <w:spacing w:after="40"/>
              <w:jc w:val="left"/>
            </w:pPr>
            <w:r>
              <w:t xml:space="preserve">Raw-library ensemble MPC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6.42</m:t>
              </m:r>
              <m:r>
                <m:rPr>
                  <m:sty m:val="p"/>
                </m:rPr>
                <m:t>±</m:t>
              </m:r>
              <m:r>
                <m:t>0.95</m:t>
              </m:r>
            </m:oMath>
            <w:r>
              <w:t xml:space="preserve">​</w:t>
            </w:r>
          </w:p>
        </w:tc>
        <w:tc>
          <w:tcPr>
            <w:vAlign w:val="top"/>
          </w:tcPr>
          <w:p>
            <w:pPr>
              <w:pStyle w:val="MDPI42tablebody"/>
              <w:suppressAutoHyphens/>
              <w:spacing w:after="40"/>
              <w:jc w:val="left"/>
            </w:pPr>
            <w:r>
              <w:rPr>
                <w:rStyle w:val="VerbatimChar"/>
              </w:rPr>
              <w:t xml:space="preserve">n5_years/main_n5.csv</w:t>
            </w:r>
          </w:p>
        </w:tc>
      </w:tr>
      <w:tr>
        <w:tc>
          <w:tcPr>
            <w:vAlign w:val="top"/>
          </w:tcPr>
          <w:p>
            <w:pPr>
              <w:pStyle w:val="MDPI42tablebody"/>
              <w:suppressAutoHyphens/>
              <w:spacing w:after="40"/>
              <w:jc w:val="left"/>
            </w:pPr>
            <w:r>
              <w:t xml:space="preserve">Untuned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0.33</m:t>
              </m:r>
            </m:oMath>
            <w:r>
              <w:t xml:space="preserve">​</w:t>
            </w:r>
          </w:p>
        </w:tc>
        <w:tc>
          <w:tcPr>
            <w:vAlign w:val="top"/>
          </w:tcPr>
          <w:p>
            <w:pPr>
              <w:pStyle w:val="MDPI42tablebody"/>
              <w:suppressAutoHyphens/>
              <w:spacing w:after="40"/>
              <w:jc w:val="left"/>
            </w:pPr>
            <w:r>
              <w:rPr>
                <w:rStyle w:val="VerbatimChar"/>
              </w:rPr>
              <w:t xml:space="preserve">n5_years/main_n5.csv</w:t>
            </w:r>
          </w:p>
        </w:tc>
      </w:tr>
      <w:tr>
        <w:tc>
          <w:tcPr>
            <w:gridSpan w:val="3"/>
            <w:vAlign w:val="center"/>
          </w:tcPr>
          <w:p>
            <w:pPr>
              <w:pStyle w:val="MDPI42tablebody"/>
              <w:keepNext/>
              <w:suppressAutoHyphens/>
              <w:spacing w:before="60"/>
              <w:jc w:val="left"/>
            </w:pPr>
            <w:r>
              <w:rPr>
                <w:i/>
                <w:iCs/>
              </w:rPr>
              <w:t xml:space="preserve">Benchmarking safeguards, mechanism and robustness</w:t>
            </w:r>
          </w:p>
        </w:tc>
      </w:tr>
      <w:tr>
        <w:tc>
          <w:tcPr>
            <w:vAlign w:val="top"/>
          </w:tcPr>
          <w:p>
            <w:pPr>
              <w:pStyle w:val="MDPI42tablebody"/>
              <w:suppressAutoHyphens/>
              <w:spacing w:after="40"/>
              <w:jc w:val="left"/>
            </w:pPr>
            <w:r>
              <w:t xml:space="preserve">Gain from tuning the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3.49</m:t>
              </m:r>
            </m:oMath>
            <w:r>
              <w:t xml:space="preserve">​</w:t>
            </w:r>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3.66</m:t>
              </m:r>
              <m:r>
                <m:rPr>
                  <m:sty m:val="p"/>
                </m:rPr>
                <m:t>→</m:t>
              </m:r>
              <m:r>
                <m:rPr>
                  <m:sty m:val="p"/>
                </m:rPr>
                <m:t>+</m:t>
              </m:r>
              <m:r>
                <m:t>1.23</m:t>
              </m:r>
            </m:oMath>
            <w:r>
              <w:t xml:space="preserve">​</w:t>
            </w:r>
          </w:p>
        </w:tc>
        <w:tc>
          <w:tcPr>
            <w:vAlign w:val="top"/>
          </w:tcPr>
          <w:p>
            <w:pPr>
              <w:pStyle w:val="MDPI42tablebody"/>
              <w:suppressAutoHyphens/>
              <w:spacing w:after="40"/>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vAlign w:val="top"/>
          </w:tcPr>
          <w:p>
            <w:pPr>
              <w:pStyle w:val="MDPI42tablebody"/>
              <w:suppressAutoHyphens/>
              <w:spacing w:after="40"/>
              <w:jc w:val="left"/>
            </w:pPr>
            <w:r>
              <w:t xml:space="preserve">Boiler-coefficient knock-in, priced: median / mean</w:t>
            </w:r>
          </w:p>
        </w:tc>
        <w:tc>
          <w:tcPr>
            <w:vAlign w:val="top"/>
          </w:tcPr>
          <w:p>
            <w:pPr>
              <w:pStyle w:val="MDPI42tablebody"/>
              <w:suppressAutoHyphens/>
              <w:spacing w:after="40"/>
              <w:jc w:val="center"/>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vAlign w:val="top"/>
          </w:tcPr>
          <w:p>
            <w:pPr>
              <w:pStyle w:val="MDPI42tablebody"/>
              <w:suppressAutoHyphens/>
              <w:spacing w:after="40"/>
              <w:jc w:val="left"/>
            </w:pPr>
            <w:r>
              <w:rPr>
                <w:rStyle w:val="VerbatimChar"/>
              </w:rPr>
              <w:t xml:space="preserve">priced_mech/​mechanism_pricedMech*.csv</w:t>
            </w:r>
          </w:p>
        </w:tc>
      </w:tr>
      <w:tr>
        <w:tc>
          <w:tcPr>
            <w:vAlign w:val="top"/>
          </w:tcPr>
          <w:p>
            <w:pPr>
              <w:pStyle w:val="MDPI42tablebody"/>
              <w:suppressAutoHyphens/>
              <w:spacing w:after="40"/>
              <w:jc w:val="left"/>
            </w:pPr>
            <m:oMath>
              <m:r>
                <m:rPr>
                  <m:sty m:val="p"/>
                </m:rPr>
                <m:t>±</m:t>
              </m:r>
              <m:r>
                <m:t>15</m:t>
              </m:r>
              <m:r>
                <m:t> </m:t>
              </m:r>
              <m:r>
                <m:rPr>
                  <m:sty m:val="p"/>
                </m:rPr>
                <m:t>%</m:t>
              </m:r>
            </m:oMath>
            <w:r>
              <w:t xml:space="preserve"> </w:t>
            </w:r>
            <w:r>
              <w:t xml:space="preserve">coefficient perturbation, default objective: mean / median cost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vAlign w:val="top"/>
          </w:tcPr>
          <w:p>
            <w:pPr>
              <w:pStyle w:val="MDPI42tablebody"/>
              <w:suppressAutoHyphens/>
              <w:spacing w:after="40"/>
              <w:jc w:val="left"/>
            </w:pPr>
            <w:r>
              <w:rPr>
                <w:rStyle w:val="VerbatimChar"/>
              </w:rPr>
              <w:t xml:space="preserve">design_priced_real/​design_designPriced.csv</w:t>
            </w:r>
          </w:p>
        </w:tc>
      </w:tr>
    </w:tbl>
    <w:bookmarkEnd w:id="87"/>
    <w:p>
      <w:pPr>
        <w:pStyle w:val="MDPI43tablefooter"/>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MDPI52figure"/>
      </w:pPr>
      <w:r>
        <w:drawing>
          <wp:inline>
            <wp:extent cx="6642100" cy="2267961"/>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642100" cy="2267961"/>
                    </a:xfrm>
                    <a:prstGeom prst="rect">
                      <a:avLst/>
                    </a:prstGeom>
                    <a:noFill/>
                    <a:ln w="9525">
                      <a:noFill/>
                      <a:headEnd/>
                      <a:tailEnd/>
                    </a:ln>
                  </pic:spPr>
                </pic:pic>
              </a:graphicData>
            </a:graphic>
          </wp:inline>
        </w:drawing>
      </w:r>
    </w:p>
    <w:p>
      <w:pPr>
        <w:pStyle w:val="MDPI51figurecaption"/>
      </w:pPr>
      <w:r>
        <w:rPr>
          <w:b/>
        </w:rPr>
        <w:t xml:space="preserve">Graphical Abstract. </w:t>
      </w:r>
      <w:r>
        <w:t>(</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MDPI62backmatter"/>
      </w:pPr>
      <w:r>
        <w:rPr>
          <w:b/>
          <w:bCs/>
        </w:rPr>
        <w:t xml:space="preserve">Supplementary Materials:</w:t>
      </w:r>
      <w:r>
        <w:t xml:space="preserve"> </w:t>
      </w:r>
      <w:r>
        <w:t xml:space="preserve">Not applicable.</w:t>
      </w:r>
    </w:p>
    <w:p>
      <w:pPr>
        <w:pStyle w:val="MDPI62backmatter"/>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MDPI62backmatter"/>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MDPI62backmatter"/>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Every quantity reported in this article is computed from per-run result tables (one</w:t>
      </w:r>
      <w:r>
        <w:t xml:space="preserve"> </w:t>
      </w:r>
      <w:r>
        <w:t xml:space="preserve">row per controller, seed and test season, carrying the seasonal margin, the</w:t>
      </w:r>
      <w:r>
        <w:t xml:space="preserve"> </w:t>
      </w:r>
      <w:r>
        <w:t xml:space="preserve">constraint-violation counts, the solver diagnostics and the identified sparse</w:t>
      </w:r>
      <w:r>
        <w:t xml:space="preserve"> </w:t>
      </w:r>
      <w:r>
        <w:t xml:space="preserve">coefficients) produced under a single frozen configuration whose hash,</w:t>
      </w:r>
      <w:r>
        <w:t xml:space="preserve"> </w:t>
      </w:r>
      <w:r>
        <w:rPr>
          <w:rStyle w:val="VerbatimChar"/>
        </w:rPr>
        <w:t xml:space="preserve">637c6b535a9e</w:t>
      </w:r>
      <w:r>
        <w:t xml:space="preserve">, is written into every row and into the manifest of each wave</w:t>
      </w:r>
      <w:r>
        <w:t xml:space="preserve"> </w:t>
      </w:r>
      <w:r>
        <w:t xml:space="preserve">together with the git commit of the generating code. The archived replication package</w:t>
      </w:r>
      <w:r>
        <w:t xml:space="preserve"> </w:t>
      </w:r>
      <w:r>
        <w:t xml:space="preserve">contains these tables, the experiment driver and its acceptance gates, the determinism</w:t>
      </w:r>
      <w:r>
        <w:t xml:space="preserve"> </w:t>
      </w:r>
      <w:r>
        <w:t xml:space="preserve">self-test, the pre-specified experiment protocol, the figure scripts, the pinned software</w:t>
      </w:r>
      <w:r>
        <w:t xml:space="preserve"> </w:t>
      </w:r>
      <w:r>
        <w:t xml:space="preserve">versions and a claim-to-file map (</w:t>
      </w:r>
      <w:r>
        <w:rPr>
          <w:rStyle w:val="VerbatimChar"/>
        </w:rPr>
        <w:t xml:space="preserve">NUMBERS.md</w:t>
      </w:r>
      <w:r>
        <w:t xml:space="preserve">) naming the file and column behind</w:t>
      </w:r>
      <w:r>
        <w:t xml:space="preserve"> </w:t>
      </w:r>
      <w:r>
        <w:t xml:space="preserve">each reported quantity.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of Section </w:t>
      </w:r>
      <w:hyperlink w:anchor="sec:sim">
        <w:r>
          <w:rPr>
            <w:rStyle w:val="Hyperlink"/>
          </w:rPr>
          <w:t xml:space="preserve">2.1</w:t>
        </w:r>
      </w:hyperlink>
      <w:r>
        <w:t xml:space="preserve">, retrieved from the Open-Meteo</w:t>
      </w:r>
      <w:r>
        <w:t xml:space="preserve"> </w:t>
      </w:r>
      <w:r>
        <w:t xml:space="preserve">historical archive API [36–37]. Bit-level reproduction is</w:t>
      </w:r>
      <w:r>
        <w:t xml:space="preserve"> </w:t>
      </w:r>
      <w:r>
        <w:t xml:space="preserve">established within one computing environment only (Section </w:t>
      </w:r>
      <w:hyperlink w:anchor="sec:repro">
        <w:r>
          <w:rPr>
            <w:rStyle w:val="Hyperlink"/>
          </w:rPr>
          <w:t xml:space="preserve">2.9</w:t>
        </w:r>
      </w:hyperlink>
      <w:r>
        <w:t xml:space="preserve">).</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MDPI62backmatter"/>
      </w:pPr>
      <w:r>
        <w:rPr>
          <w:b/>
          <w:bCs/>
        </w:rPr>
        <w:t xml:space="preserve">Acknowledgments:</w:t>
      </w:r>
      <w:r>
        <w:t xml:space="preserve"> </w:t>
      </w:r>
      <w:r>
        <w:t xml:space="preserve">Not applicable.</w:t>
      </w:r>
    </w:p>
    <w:p>
      <w:pPr>
        <w:pStyle w:val="MDPI62backmatter"/>
      </w:pPr>
      <w:r>
        <w:rPr>
          <w:b/>
          <w:bCs/>
        </w:rPr>
        <w:t xml:space="preserve">Conflicts of Interest:</w:t>
      </w:r>
      <w:r>
        <w:t xml:space="preserve"> </w:t>
      </w:r>
      <w:r>
        <w:t xml:space="preserve">The authors declare no conflicts of interest. The funders had no role in the design of the study; in the collection, analyses, or interpretation of data; in the writing of the manuscript; or in the decision to publish the results.</w:t>
      </w:r>
    </w:p>
    <w:bookmarkEnd w:id="91"/>
    <w:bookmarkStart w:id="125" w:name="references"/>
    <w:p>
      <w:pPr>
        <w:pStyle w:val="MDPI21heading1"/>
      </w:pPr>
      <w:r>
        <w:t xml:space="preserve">References</w:t>
      </w:r>
    </w:p>
    <w:p>
      <w:pPr>
        <w:pStyle w:val="MDPI81references"/>
      </w:pPr>
      <w:r>
        <w:t>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MDPI81references"/>
      </w:pPr>
      <w:r>
        <w:t>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MDPI81references"/>
      </w:pPr>
      <w:r>
        <w:t>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MDPI81references"/>
      </w:pPr>
      <w:r>
        <w:t>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MDPI81references"/>
      </w:pPr>
      <w:r>
        <w:t>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MDPI81references"/>
      </w:pPr>
      <w:r>
        <w:t>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MDPI81references"/>
      </w:pPr>
      <w:r>
        <w:t>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MDPI81references"/>
      </w:pPr>
      <w:r>
        <w:t>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MDPI81references"/>
      </w:pPr>
      <w:r>
        <w:t>E</w:t>
      </w:r>
      <w:r>
        <w:t xml:space="preserve">ć</w:t>
      </w:r>
      <w:r>
        <w:t xml:space="preserve">im-Đuri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MDPI81references"/>
      </w:pPr>
      <w:r>
        <w:t>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MDPI81references"/>
      </w:pPr>
      <w:r>
        <w:t>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MDPI81references"/>
      </w:pPr>
      <w:r>
        <w:t>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MDPI81references"/>
      </w:pPr>
      <w:r>
        <w:t>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MDPI81references"/>
      </w:pPr>
      <w:r>
        <w:t>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MDPI81references"/>
      </w:pPr>
      <w:r>
        <w:t>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MDPI81references"/>
      </w:pPr>
      <w:r>
        <w:t>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MDPI81references"/>
      </w:pPr>
      <w:r>
        <w:t>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MDPI81references"/>
      </w:pPr>
      <w:r>
        <w:t>Ljung, L.</w:t>
      </w:r>
      <w:r>
        <w:t xml:space="preserve"> </w:t>
      </w:r>
      <w:r>
        <w:rPr>
          <w:i/>
          <w:iCs/>
        </w:rPr>
        <w:t xml:space="preserve">System Identification: Theory for the User</w:t>
      </w:r>
      <w:r>
        <w:t xml:space="preserve">, 2nd ed.; Prentice Hall: Upper Saddle River, NJ, USA, 1999.</w:t>
      </w:r>
    </w:p>
    <w:p>
      <w:pPr>
        <w:pStyle w:val="MDPI81references"/>
      </w:pPr>
      <w:r>
        <w:t>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MDPI81references"/>
      </w:pPr>
      <w:r>
        <w:t>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MDPI81references"/>
      </w:pPr>
      <w:r>
        <w:t>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MDPI81references"/>
      </w:pPr>
      <w:r>
        <w:t>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MDPI81references"/>
      </w:pPr>
      <w:r>
        <w:t>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MDPI81references"/>
      </w:pPr>
      <w:r>
        <w:t>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w:t>
      </w:r>
    </w:p>
    <w:p>
      <w:pPr>
        <w:pStyle w:val="MDPI81references"/>
      </w:pPr>
      <w:r>
        <w:t>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MDPI81references"/>
      </w:pPr>
      <w:r>
        <w:t>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1">
        <w:r>
          <w:rPr>
            <w:rStyle w:val="Hyperlink"/>
          </w:rPr>
          <w:t xml:space="preserve">https://doi.org/10.1016/j.jcp.2018.10.045</w:t>
        </w:r>
      </w:hyperlink>
    </w:p>
    <w:p>
      <w:pPr>
        <w:pStyle w:val="MDPI81references"/>
      </w:pPr>
      <w:r>
        <w:t>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2">
        <w:r>
          <w:rPr>
            <w:rStyle w:val="Hyperlink"/>
          </w:rPr>
          <w:t xml:space="preserve">https://doi.org/10.1038/s42254-021-00314-5</w:t>
        </w:r>
      </w:hyperlink>
    </w:p>
    <w:p>
      <w:pPr>
        <w:pStyle w:val="MDPI81references"/>
      </w:pPr>
      <w:r>
        <w:t>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3">
        <w:r>
          <w:rPr>
            <w:rStyle w:val="Hyperlink"/>
          </w:rPr>
          <w:t xml:space="preserve">https://doi.org/10.1016/j.cma.2020.113620</w:t>
        </w:r>
      </w:hyperlink>
    </w:p>
    <w:p>
      <w:pPr>
        <w:pStyle w:val="MDPI81references"/>
      </w:pPr>
      <w:r>
        <w:t>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MDPI81references"/>
      </w:pPr>
      <w:r>
        <w:t>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MDPI81references"/>
      </w:pPr>
      <w:r>
        <w:t>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MDPI81references"/>
      </w:pPr>
      <w:r>
        <w:t>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MDPI81references"/>
      </w:pPr>
      <w:r>
        <w:t>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4">
        <w:r>
          <w:rPr>
            <w:rStyle w:val="Hyperlink"/>
          </w:rPr>
          <w:t xml:space="preserve">https://doi.org/10.2307/3001968</w:t>
        </w:r>
      </w:hyperlink>
    </w:p>
    <w:p>
      <w:pPr>
        <w:pStyle w:val="MDPI81references"/>
      </w:pPr>
      <w:r>
        <w:t>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MDPI81references"/>
      </w:pPr>
      <w:r>
        <w:t>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MDPI81references"/>
      </w:pPr>
      <w:r>
        <w:t>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5">
        <w:r>
          <w:rPr>
            <w:rStyle w:val="Hyperlink"/>
          </w:rPr>
          <w:t xml:space="preserve">https://doi.org/10.1002/qj.3803</w:t>
        </w:r>
      </w:hyperlink>
    </w:p>
    <w:p>
      <w:pPr>
        <w:pStyle w:val="MDPI81references"/>
      </w:pPr>
      <w:r>
        <w:t>Zippenfenig, P. Open-Meteo.com Weather API, 2023; Zenodo (concept DOI, all versions).</w:t>
      </w:r>
      <w:r>
        <w:t xml:space="preserve"> </w:t>
      </w:r>
      <w:hyperlink r:id="rId116">
        <w:r>
          <w:rPr>
            <w:rStyle w:val="Hyperlink"/>
          </w:rPr>
          <w:t xml:space="preserve">https://doi.org/10.5281/zenodo.7970649</w:t>
        </w:r>
      </w:hyperlink>
      <w:r>
        <w:t xml:space="preserve">. Historical archive endpoint available online:</w:t>
      </w:r>
      <w:r>
        <w:t xml:space="preserve"> </w:t>
      </w:r>
      <w:hyperlink r:id="rId117">
        <w:r>
          <w:rPr>
            <w:rStyle w:val="Hyperlink"/>
          </w:rPr>
          <w:t xml:space="preserve">https://archive-api.open-meteo.com/v1/archive</w:t>
        </w:r>
      </w:hyperlink>
      <w:r>
        <w:t xml:space="preserve"> </w:t>
      </w:r>
      <w:r>
        <w:t xml:space="preserve">(accessed on 11 August 2026).</w:t>
      </w:r>
    </w:p>
    <w:p>
      <w:pPr>
        <w:pStyle w:val="MDPI81references"/>
      </w:pPr>
      <w:r>
        <w:t>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8">
        <w:r>
          <w:rPr>
            <w:rStyle w:val="Hyperlink"/>
          </w:rPr>
          <w:t xml:space="preserve">https://doi.org/10.1007/s10107-004-0559-y</w:t>
        </w:r>
      </w:hyperlink>
    </w:p>
    <w:p>
      <w:pPr>
        <w:pStyle w:val="MDPI81references"/>
      </w:pPr>
      <w:r>
        <w:t>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19">
        <w:r>
          <w:rPr>
            <w:rStyle w:val="Hyperlink"/>
          </w:rPr>
          <w:t xml:space="preserve">https://doi.org/10.1016/j.conengprac.2023.105676</w:t>
        </w:r>
      </w:hyperlink>
    </w:p>
    <w:p>
      <w:pPr>
        <w:pStyle w:val="MDPI81references"/>
      </w:pPr>
      <w:r>
        <w:t>Efron, B.; Tibshirani, R.J.</w:t>
      </w:r>
      <w:r>
        <w:t xml:space="preserve"> </w:t>
      </w:r>
      <w:r>
        <w:rPr>
          <w:i/>
          <w:iCs/>
        </w:rPr>
        <w:t xml:space="preserve">An Introduction to the Bootstrap</w:t>
      </w:r>
      <w:r>
        <w:t xml:space="preserve">; Chapman &amp; Hall/CRC: New York, NY, USA, 1994.</w:t>
      </w:r>
      <w:r>
        <w:t xml:space="preserve"> </w:t>
      </w:r>
      <w:hyperlink r:id="rId120">
        <w:r>
          <w:rPr>
            <w:rStyle w:val="Hyperlink"/>
          </w:rPr>
          <w:t xml:space="preserve">https://doi.org/10.1201/9780429246593</w:t>
        </w:r>
      </w:hyperlink>
    </w:p>
    <w:p>
      <w:pPr>
        <w:pStyle w:val="MDPI81references"/>
      </w:pPr>
      <w:r>
        <w:t>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MDPI81references"/>
      </w:pPr>
      <w:r>
        <w:t>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MDPI81references"/>
      </w:pPr>
      <w:r>
        <w:t>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MDPI81references"/>
      </w:pPr>
      <w:r>
        <w:t>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MDPI81references"/>
      </w:pPr>
      <w:r>
        <w:t>Henderson, P.; Islam, R.; Bachman, P.; Pineau, J.; Precup, D.; Meger, D. Deep reinforcement learning that matters. In Proceedings of the 32nd AAAI Conference on Artificial Intelligence (AAAI-18), New Orleans, LA, USA, 2–7 February 2018; pp. 3207–3214.</w:t>
      </w:r>
      <w:r>
        <w:t xml:space="preserve"> </w:t>
      </w:r>
      <w:hyperlink r:id="rId121">
        <w:r>
          <w:rPr>
            <w:rStyle w:val="Hyperlink"/>
          </w:rPr>
          <w:t xml:space="preserve">https://doi.org/10.1609/aaai.v32i1.11694</w:t>
        </w:r>
      </w:hyperlink>
    </w:p>
    <w:p>
      <w:pPr>
        <w:pStyle w:val="MDPI81references"/>
      </w:pPr>
      <w:r>
        <w:t>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2">
        <w:r>
          <w:rPr>
            <w:rStyle w:val="Hyperlink"/>
          </w:rPr>
          <w:t xml:space="preserve">https://doi.org/10.1016/j.automatica.2004.11.021</w:t>
        </w:r>
      </w:hyperlink>
    </w:p>
    <w:p>
      <w:pPr>
        <w:pStyle w:val="MDPI81references"/>
      </w:pPr>
      <w:r>
        <w:t>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3">
        <w:r>
          <w:rPr>
            <w:rStyle w:val="Hyperlink"/>
          </w:rPr>
          <w:t xml:space="preserve">https://doi.org/10.1002/0471725153</w:t>
        </w:r>
      </w:hyperlink>
    </w:p>
    <w:p>
      <w:pPr>
        <w:pStyle w:val="MDPI81references"/>
      </w:pPr>
      <w:r>
        <w:t>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4">
        <w:r>
          <w:rPr>
            <w:rStyle w:val="Hyperlink"/>
          </w:rPr>
          <w:t xml:space="preserve">https://doi.org/10.3390/agronomy15122781</w:t>
        </w:r>
      </w:hyperlink>
    </w:p>
    <w:bookmarkEnd w:id="125"/>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13" Type="http://schemas.openxmlformats.org/officeDocument/2006/relationships/header" Target="header2.xml"/><Relationship Id="rId12" Type="http://schemas.openxmlformats.org/officeDocument/2006/relationships/header" Target="header1.xml"/><Relationship Id="rId16" Type="http://schemas.openxmlformats.org/officeDocument/2006/relationships/footer" Target="footer2.xml"/><Relationship Id="rId15" Type="http://schemas.openxmlformats.org/officeDocument/2006/relationships/header" Target="header3.xml"/><Relationship Id="rId10" Type="http://schemas.openxmlformats.org/officeDocument/2006/relationships/image" Target="media/image2.png"/><Relationship Id="rId9" Type="http://schemas.openxmlformats.org/officeDocument/2006/relationships/image" Target="media/image1.png"/><Relationship Id="rId14" Type="http://schemas.openxmlformats.org/officeDocument/2006/relationships/footer" Target="footer1.xml"/><Relationship Id="rId88" Type="http://schemas.openxmlformats.org/officeDocument/2006/relationships/image" Target="media/rId88.png"/><Relationship Id="rId40" Type="http://schemas.openxmlformats.org/officeDocument/2006/relationships/image" Target="media/rId40.png"/><Relationship Id="rId49" Type="http://schemas.openxmlformats.org/officeDocument/2006/relationships/image" Target="media/rId49.png"/><Relationship Id="rId59" Type="http://schemas.openxmlformats.org/officeDocument/2006/relationships/image" Target="media/rId59.png"/><Relationship Id="rId68" Type="http://schemas.openxmlformats.org/officeDocument/2006/relationships/image" Target="media/rId68.png"/><Relationship Id="rId81" Type="http://schemas.openxmlformats.org/officeDocument/2006/relationships/image" Target="media/rId81.png"/><Relationship Id="rId117" Type="http://schemas.openxmlformats.org/officeDocument/2006/relationships/hyperlink" Target="https://archive-api.open-meteo.com/v1/archive" TargetMode="External"/><Relationship Id="rId123" Type="http://schemas.openxmlformats.org/officeDocument/2006/relationships/hyperlink" Target="https://doi.org/10.1002/0471725153" TargetMode="External"/><Relationship Id="rId115"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8"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2"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3"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19"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1" Type="http://schemas.openxmlformats.org/officeDocument/2006/relationships/hyperlink" Target="https://doi.org/10.1016/j.jcp.2018.10.045" TargetMode="External"/><Relationship Id="rId112"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0" Type="http://schemas.openxmlformats.org/officeDocument/2006/relationships/hyperlink" Target="https://doi.org/10.1201/9780429246593" TargetMode="External"/><Relationship Id="rId121"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4"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4" Type="http://schemas.openxmlformats.org/officeDocument/2006/relationships/hyperlink" Target="https://doi.org/10.3390/agronomy15122781" TargetMode="External"/><Relationship Id="rId116" Type="http://schemas.openxmlformats.org/officeDocument/2006/relationships/hyperlink" Target="https://doi.org/10.5281/zenodo.7970649"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archive-api.open-meteo.com/v1/archive" TargetMode="External"/><Relationship Id="rId123" Type="http://schemas.openxmlformats.org/officeDocument/2006/relationships/hyperlink" Target="https://doi.org/10.1002/0471725153" TargetMode="External"/><Relationship Id="rId115"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8"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2"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3"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19"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1" Type="http://schemas.openxmlformats.org/officeDocument/2006/relationships/hyperlink" Target="https://doi.org/10.1016/j.jcp.2018.10.045" TargetMode="External"/><Relationship Id="rId112"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0" Type="http://schemas.openxmlformats.org/officeDocument/2006/relationships/hyperlink" Target="https://doi.org/10.1201/9780429246593" TargetMode="External"/><Relationship Id="rId121"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4"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4" Type="http://schemas.openxmlformats.org/officeDocument/2006/relationships/hyperlink" Target="https://doi.org/10.3390/agronomy15122781" TargetMode="External"/><Relationship Id="rId116" Type="http://schemas.openxmlformats.org/officeDocument/2006/relationships/hyperlink" Target="https://doi.org/10.5281/zenodo.7970649"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2026-09-16T06:53:42Z</dcterms:created>
  <dcterms:modified xsi:type="dcterms:W3CDTF">2026-09-16T06:53:42Z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15 controllers were compared over four 60-day test seasons with up to 20 identification replicates. Outcome measures were simulated seasonal margin and climate-corridor violations. One-step accuracy and multi-step stability ranked the feature libraries oppositely: physically motivated features reduced one-step temperature root-mean-square error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