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8.png" ContentType="image/png"/>
  <Override PartName="/word/media/rId40.png" ContentType="image/png"/>
  <Override PartName="/word/media/rId49.png" ContentType="image/png"/>
  <Override PartName="/word/media/rId59.png" ContentType="image/png"/>
  <Override PartName="/word/media/rId6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Author"/>
      </w:pPr>
      <w:r>
        <w:rPr>
          <w:b/>
          <w:bCs/>
        </w:rPr>
        <w:t xml:space="preserve">Ivan I. Naumov</w:t>
      </w:r>
      <m:oMath>
        <m:sSup>
          <m:e>
            <m:r>
              <m:t>​</m:t>
            </m:r>
          </m:e>
          <m:sup>
            <m:r>
              <m:t>1</m:t>
            </m:r>
            <m:r>
              <m:rPr>
                <m:sty m:val="p"/>
              </m:rPr>
              <m:t>,</m:t>
            </m:r>
            <m:r>
              <m:rPr>
                <m:sty m:val="p"/>
              </m:rPr>
              <m:t>*</m:t>
            </m:r>
          </m:sup>
        </m:sSup>
      </m:oMath>
      <w:r>
        <w:t xml:space="preserve"> </w:t>
      </w:r>
      <w:r>
        <w:t xml:space="preserve"> </w:t>
      </w:r>
      <w:r>
        <w:rPr>
          <w:vertAlign w:val="superscript"/>
        </w:rPr>
        <w:t xml:space="preserve">0000-0002-8582-3203</w:t>
      </w:r>
    </w:p>
    <w:p>
      <w:pPr>
        <w:pStyle w:val="Author"/>
      </w:pPr>
      <w:r>
        <w:rPr>
          <w:b/>
          <w:bCs/>
        </w:rPr>
        <w:t xml:space="preserve">Maksim V. Lyashov</w:t>
      </w:r>
      <m:oMath>
        <m:sSup>
          <m:e>
            <m:r>
              <m:t>​</m:t>
            </m:r>
          </m:e>
          <m:sup>
            <m:r>
              <m:t>1</m:t>
            </m:r>
          </m:sup>
        </m:sSup>
      </m:oMath>
      <w:r>
        <w:t xml:space="preserve"> </w:t>
      </w:r>
      <w:r>
        <w:t xml:space="preserve"> </w:t>
      </w:r>
      <w:r>
        <w:rPr>
          <w:vertAlign w:val="superscript"/>
        </w:rPr>
        <w:t xml:space="preserve">0009-0004-9754-3390</w:t>
      </w:r>
    </w:p>
    <w:p>
      <w:pPr>
        <w:pStyle w:val="Author"/>
      </w:pPr>
      <w:r>
        <w:rPr>
          <w:b/>
          <w:bCs/>
        </w:rPr>
        <w:t xml:space="preserve">Anton T. Chernyaev</w:t>
      </w:r>
      <m:oMath>
        <m:sSup>
          <m:e>
            <m:r>
              <m:t>​</m:t>
            </m:r>
          </m:e>
          <m:sup>
            <m:r>
              <m:t>1</m:t>
            </m:r>
          </m:sup>
        </m:sSup>
      </m:oMath>
      <w:r>
        <w:t xml:space="preserve"> </w:t>
      </w:r>
      <w:r>
        <w:t xml:space="preserve"> </w:t>
      </w:r>
      <w:r>
        <w:rPr>
          <w:vertAlign w:val="superscript"/>
        </w:rPr>
        <w:t xml:space="preserve">0009-0001-6836-6522</w:t>
      </w:r>
    </w:p>
    <w:p>
      <w:pPr>
        <w:pStyle w:val="Author"/>
      </w:pPr>
      <w:r>
        <w:rPr>
          <w:b/>
          <w:bCs/>
        </w:rPr>
        <w:t xml:space="preserve">Mariya S. Kilina</w:t>
      </w:r>
      <m:oMath>
        <m:sSup>
          <m:e>
            <m:r>
              <m:t>​</m:t>
            </m:r>
          </m:e>
          <m:sup>
            <m:r>
              <m:t>2</m:t>
            </m:r>
          </m:sup>
        </m:sSup>
      </m:oMath>
    </w:p>
    <w:p>
      <w:pPr>
        <w:pStyle w:val="Author"/>
      </w:pPr>
      <w:r>
        <w:rPr>
          <w:b/>
          <w:bCs/>
        </w:rPr>
        <w:t xml:space="preserve">Marina M. Zhdanova</w:t>
      </w:r>
      <m:oMath>
        <m:sSup>
          <m:e>
            <m:r>
              <m:t>​</m:t>
            </m:r>
          </m:e>
          <m:sup>
            <m:r>
              <m:t>3</m:t>
            </m:r>
          </m:sup>
        </m:sSup>
      </m:oMath>
      <w:r>
        <w:t xml:space="preserve"> </w:t>
      </w:r>
      <w:r>
        <w:t xml:space="preserve"> </w:t>
      </w:r>
      <w:r>
        <w:rPr>
          <w:vertAlign w:val="superscript"/>
        </w:rPr>
        <w:t xml:space="preserve">0000-0003-1119-5221</w:t>
      </w:r>
    </w:p>
    <w:p>
      <w:pPr>
        <w:pStyle w:val="Author"/>
      </w:pPr>
      <w:r>
        <w:rPr>
          <w:b/>
          <w:bCs/>
        </w:rPr>
        <w:t xml:space="preserve">Elena O. Chernyaeva</w:t>
      </w:r>
      <m:oMath>
        <m:sSup>
          <m:e>
            <m:r>
              <m:t>​</m:t>
            </m:r>
          </m:e>
          <m:sup>
            <m:r>
              <m:t>1</m:t>
            </m:r>
          </m:sup>
        </m:sSup>
      </m:oMath>
      <w:r>
        <w:t xml:space="preserve"> </w:t>
      </w:r>
      <w:r>
        <w:t xml:space="preserve"> </w:t>
      </w:r>
      <w:r>
        <w:rPr>
          <w:vertAlign w:val="superscript"/>
        </w:rPr>
        <w:t xml:space="preserve">0009-0003-3829-3486</w:t>
      </w:r>
    </w:p>
    <w:p>
      <w:pPr>
        <w:pStyle w:val="Author"/>
      </w:pPr>
      <w:r>
        <w:rPr>
          <w:b/>
          <w:bCs/>
        </w:rPr>
        <w:t xml:space="preserve">Marina S. Kharina</w:t>
      </w:r>
      <m:oMath>
        <m:sSup>
          <m:e>
            <m:r>
              <m:t>​</m:t>
            </m:r>
          </m:e>
          <m:sup>
            <m:r>
              <m:t>1</m:t>
            </m:r>
          </m:sup>
        </m:sSup>
      </m:oMath>
    </w:p>
    <w:p>
      <w:pPr>
        <w:pStyle w:val="Author"/>
      </w:pPr>
      <w:r>
        <w:rPr>
          <w:b/>
          <w:bCs/>
        </w:rPr>
        <w:t xml:space="preserve">Angelina E. Merzlikina</w:t>
      </w:r>
      <m:oMath>
        <m:sSup>
          <m:e>
            <m:r>
              <m:t>​</m:t>
            </m:r>
          </m:e>
          <m:sup>
            <m:r>
              <m:t>1</m:t>
            </m:r>
          </m:sup>
        </m:sSup>
      </m:oMath>
      <w:r>
        <w:t xml:space="preserve"> </w:t>
      </w:r>
      <w:r>
        <w:t xml:space="preserve"> </w:t>
      </w:r>
      <w:r>
        <w:rPr>
          <w:vertAlign w:val="superscript"/>
        </w:rPr>
        <w:t xml:space="preserve">0009-0000-5051-346X</w:t>
      </w:r>
    </w:p>
    <w:p>
      <w:pPr>
        <w:pStyle w:val="Author"/>
      </w:pPr>
      <w:r>
        <w:rPr>
          <w:b/>
          <w:bCs/>
        </w:rPr>
        <w:t xml:space="preserve">Mariya N. Kulinich</w:t>
      </w:r>
      <m:oMath>
        <m:sSup>
          <m:e>
            <m:r>
              <m:t>​</m:t>
            </m:r>
          </m:e>
          <m:sup>
            <m:r>
              <m:t>4</m:t>
            </m:r>
          </m:sup>
        </m:sSup>
      </m:oMath>
      <w:r>
        <w:br/>
      </w:r>
      <m:oMath>
        <m:sSup>
          <m:e>
            <m:r>
              <m:t>​</m:t>
            </m:r>
          </m:e>
          <m:sup>
            <m:r>
              <m:t>1</m:t>
            </m:r>
          </m:sup>
        </m:sSup>
      </m:oMath>
      <w:r>
        <w:t xml:space="preserve">World-Class Research Centre "Agroengineering of the Future", Don State Technical University, 1 Gagarin Square, 344003 Rostov-on-Don, Russia; inaumov@donstu.ru (I.I.N.); mlyashov@donstu.ru (M.V.L.); atchernyaev@donstu.ru (A.T.C.); echernyaeva@donstu.ru (E.O.C.); mharina@donstu.ru (M.S.Kh.); aelevchenko@donstu.ru (A.E.M.)</w:t>
      </w:r>
      <w:r>
        <w:br/>
      </w:r>
      <m:oMath>
        <m:sSup>
          <m:e>
            <m:r>
              <m:t>​</m:t>
            </m:r>
          </m:e>
          <m:sup>
            <m:r>
              <m:t>2</m:t>
            </m:r>
          </m:sup>
        </m:sSup>
      </m:oMath>
      <w:r>
        <w:t xml:space="preserve">Department of Hydraulics, Hydropneumatic Automation and Thermal Processes, Don State Technical University, 1 Gagarin Square, 344003 Rostov-on-Don, Russia; Mkilina@donstu.ru (M.S.K.)</w:t>
      </w:r>
      <w:r>
        <w:br/>
      </w:r>
      <m:oMath>
        <m:sSup>
          <m:e>
            <m:r>
              <m:t>​</m:t>
            </m:r>
          </m:e>
          <m:sup>
            <m:r>
              <m:t>3</m:t>
            </m:r>
          </m:sup>
        </m:sSup>
      </m:oMath>
      <w:r>
        <w:t xml:space="preserve">Department of Cybersecurity of Information Systems, Don State Technical University, 1 Gagarin Square, 344003 Rostov-on-Don, Russia; mpismenskova@donstu.ru (M.M.Z.)</w:t>
      </w:r>
      <w:r>
        <w:br/>
      </w:r>
      <m:oMath>
        <m:sSup>
          <m:e>
            <m:r>
              <m:t>​</m:t>
            </m:r>
          </m:e>
          <m:sup>
            <m:r>
              <m:t>4</m:t>
            </m:r>
          </m:sup>
        </m:sSup>
      </m:oMath>
      <w:r>
        <w:t xml:space="preserve">Research Administration Office, Don State Technical University, 1 Gagarin Square, 344003 Rostov-on-Don, Russia; mkulinich@donstu.ru (M.N.K.)</w:t>
      </w:r>
      <w:r>
        <w:br/>
      </w:r>
      <m:oMath>
        <m:sSup>
          <m:e>
            <m:r>
              <m:t>​</m:t>
            </m:r>
          </m:e>
          <m:sup>
            <m:r>
              <m:rPr>
                <m:sty m:val="p"/>
              </m:rPr>
              <m:t>*</m:t>
            </m:r>
          </m:sup>
        </m:sSup>
      </m:oMath>
      <w:r>
        <w:t xml:space="preserve">Correspondence: inaumov@donstu.ru</w:t>
      </w:r>
    </w:p>
    <w:p>
      <w:pPr>
        <w:pStyle w:val="AbstractTitle"/>
      </w:pPr>
      <w:r>
        <w:t xml:space="preserve">Abstract</w:t>
      </w:r>
    </w:p>
    <w:p>
      <w:pPr>
        <w:pStyle w:val="Abstract"/>
      </w:pP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Among</w:t>
      </w:r>
      <w:r>
        <w:t xml:space="preserve"> </w:t>
      </w:r>
      <w:r>
        <w:t xml:space="preserve">first-order, undenoised configurations under sparse estimators, one-step accuracy and</w:t>
      </w:r>
      <w:r>
        <w:t xml:space="preserve"> </w:t>
      </w:r>
      <w:r>
        <w:t xml:space="preserve">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FirstParagraph"/>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bookmarkStart w:id="26" w:name="sec:intro"/>
    <w:p>
      <w:pPr>
        <w:pStyle w:val="Heading1"/>
      </w:pPr>
      <w:r>
        <w:t xml:space="preserve">Introduction</w:t>
      </w:r>
    </w:p>
    <w:p>
      <w:pPr>
        <w:pStyle w:val="FirstParagraph"/>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Body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Body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Body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Body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Body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TableCaption"/>
      </w:pP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p>
            <w:pPr>
              <w:pStyle w:val="Compact"/>
              <w:jc w:val="left"/>
            </w:pPr>
            <w:r>
              <w:rPr>
                <w:b/>
                <w:bCs/>
              </w:rPr>
              <w:t xml:space="preserve">Benchmarking risk</w:t>
            </w:r>
          </w:p>
        </w:tc>
        <w:tc>
          <w:tcPr/>
          <w:p>
            <w:pPr>
              <w:pStyle w:val="Compact"/>
              <w:jc w:val="left"/>
            </w:pPr>
            <w:r>
              <w:rPr>
                <w:b/>
                <w:bCs/>
              </w:rPr>
              <w:t xml:space="preserve">Safeguard used here</w:t>
            </w:r>
          </w:p>
        </w:tc>
        <w:tc>
          <w:tcPr/>
          <w:p>
            <w:pPr>
              <w:pStyle w:val="Compact"/>
              <w:jc w:val="left"/>
            </w:pPr>
            <w:r>
              <w:rPr>
                <w:b/>
                <w:bCs/>
              </w:rPr>
              <w:t xml:space="preserve">Observed sensitivity</w:t>
            </w:r>
          </w:p>
        </w:tc>
      </w:tr>
      <w:tr>
        <w:tc>
          <w:tcPr/>
          <w:p>
            <w:pPr>
              <w:pStyle w:val="Compact"/>
              <w:jc w:val="left"/>
            </w:pPr>
            <w:r>
              <w:t xml:space="preserve">Unsearched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p>
            <w:pPr>
              <w:pStyle w:val="Compact"/>
              <w:jc w:val="left"/>
            </w:pPr>
            <w:r>
              <w:t xml:space="preserve">Objective mismatch: tracking error reported instead of margin, or MPC actuator weights</w:t>
            </w:r>
            <w:r>
              <w:t xml:space="preserve"> </w:t>
            </w:r>
            <w:r>
              <w:t xml:space="preserve">that are inconsistent with the prices used for evaluation</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Body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Body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Body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Body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Body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Body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Heading1"/>
      </w:pPr>
      <w:r>
        <w:t xml:space="preserve">Materials and Methods</w:t>
      </w:r>
    </w:p>
    <w:bookmarkStart w:id="27" w:name="sec:sim"/>
    <w:p>
      <w:pPr>
        <w:pStyle w:val="Heading2"/>
      </w:pPr>
      <w:r>
        <w:t xml:space="preserve">Simulation study design, site, weather and cropping season</w:t>
      </w:r>
    </w:p>
    <w:p>
      <w:pPr>
        <w:pStyle w:val="FirstParagraph"/>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Body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Body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r>
        <w:tc>
          <w:tcPr>
            <w:gridSpan w:val="3"/>
          </w:tcPr>
          <w:p>
            <w:pPr>
              <w:pStyle w:val="Compact"/>
              <w:jc w:val="left"/>
            </w:pPr>
            <w:r>
              <w:rPr>
                <w:i/>
                <w:iCs/>
              </w:rPr>
              <w:t xml:space="preserve">Term-deletion probe, outside the fifteen-controller comparison and the Holm family</w:t>
            </w:r>
          </w:p>
        </w:tc>
      </w:tr>
      <w:tr>
        <w:tc>
          <w:tcPr/>
          <w:p>
            <w:pPr>
              <w:pStyle w:val="Compact"/>
              <w:jc w:val="left"/>
            </w:pPr>
            <w:r>
              <w:rPr>
                <w:rStyle w:val="VerbatimChar"/>
              </w:rPr>
              <w:t xml:space="preserve">sindy_mpc_notuboil</w:t>
            </w:r>
          </w:p>
        </w:tc>
        <w:tc>
          <w:tcPr/>
          <w:p>
            <w:pPr>
              <w:pStyle w:val="Compact"/>
              <w:jc w:val="left"/>
            </w:pPr>
            <w:r>
              <w:t xml:space="preserve">SINDy-MPC</w:t>
            </w:r>
          </w:p>
        </w:tc>
        <w:tc>
          <w:tcPr/>
          <w:p>
            <w:pPr>
              <w:pStyle w:val="Compact"/>
              <w:jc w:val="left"/>
            </w:pPr>
            <w:r>
              <w:rPr>
                <w:rStyle w:val="VerbatimChar"/>
              </w:rPr>
              <w:t xml:space="preserve">physics_no_tuboil</w:t>
            </w:r>
            <w:r>
              <w:t xml:space="preserve">, STLSQ,</w:t>
            </w:r>
            <w:r>
              <w:t xml:space="preserve"> </w:t>
            </w:r>
            <m:oMath>
              <m:r>
                <m:t>λ</m:t>
              </m:r>
              <m:r>
                <m:rPr>
                  <m:sty m:val="p"/>
                </m:rPr>
                <m:t>=</m:t>
              </m:r>
              <m:r>
                <m:t>0.05</m:t>
              </m:r>
            </m:oMath>
          </w:p>
        </w:tc>
      </w:tr>
      <w:tr>
        <w:tc>
          <w:tcPr/>
          <w:p>
            <w:pPr>
              <w:pStyle w:val="Compact"/>
              <w:jc w:val="left"/>
            </w:pPr>
            <w:r>
              <w:rPr>
                <w:rStyle w:val="VerbatimChar"/>
              </w:rPr>
              <w:t xml:space="preserve">sindy_mpc_notuboil_ens</w:t>
            </w:r>
          </w:p>
        </w:tc>
        <w:tc>
          <w:tcPr/>
          <w:p>
            <w:pPr>
              <w:pStyle w:val="Compact"/>
              <w:jc w:val="left"/>
            </w:pPr>
            <w:r>
              <w:t xml:space="preserve">SINDy-MPC</w:t>
            </w:r>
          </w:p>
        </w:tc>
        <w:tc>
          <w:tcPr/>
          <w:p>
            <w:pPr>
              <w:pStyle w:val="Compact"/>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Body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Heading2"/>
      </w:pPr>
      <w:r>
        <w:t xml:space="preserve">Feature libraries and sparse identification</w:t>
      </w:r>
    </w:p>
    <w:p>
      <w:pPr>
        <w:pStyle w:val="FirstParagraph"/>
      </w:pPr>
      <w:r>
        <w:t xml:space="preserve">Sparse regression [10–12]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Body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Heading2"/>
      </w:pPr>
      <w:r>
        <w:t xml:space="preserve">Identification ladder and pre-specified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Heading2"/>
      </w:pPr>
      <w:r>
        <w:t xml:space="preserve">MPC formulation and stage cost</w:t>
      </w:r>
    </w:p>
    <w:p>
      <w:pPr>
        <w:pStyle w:val="FirstParagraph"/>
      </w:pPr>
      <w:r>
        <w:t xml:space="preserve">The explicit form of Equation (2) allows it to be embedded analytically in a</w:t>
      </w:r>
      <w:r>
        <w:t xml:space="preserve"> </w:t>
      </w:r>
      <w:r>
        <w:t xml:space="preserve">finite-horizon optimal control problem [4]:</w:t>
      </w:r>
    </w:p>
    <w:p>
      <w:pPr>
        <w:pStyle w:val="BodyText"/>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p>
      <w:pPr>
        <w:pStyle w:val="FirstParagraph"/>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Body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Heading2"/>
      </w:pPr>
      <w:r>
        <w:t xml:space="preserve">Rule-based reference and its tuning</w:t>
      </w:r>
    </w:p>
    <w:p>
      <w:pPr>
        <w:pStyle w:val="FirstParagraph"/>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1.936</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4"/>
    <w:p>
      <w:pPr>
        <w:pStyle w:val="Body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(Section </w:t>
      </w:r>
      <w:hyperlink w:anchor="sec:res-main">
        <w:r>
          <w:rPr>
            <w:rStyle w:val="Hyperlink"/>
          </w:rPr>
          <w:t xml:space="preserve">3.3</w:t>
        </w:r>
      </w:hyperlink>
      <w:r>
        <w:t xml:space="preserve">).</w:t>
      </w:r>
    </w:p>
    <w:p>
      <w:pPr>
        <w:pStyle w:val="Body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Body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Body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Body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(Section </w:t>
      </w:r>
      <w:hyperlink w:anchor="sec:res-main">
        <w:r>
          <w:rPr>
            <w:rStyle w:val="Hyperlink"/>
          </w:rPr>
          <w:t xml:space="preserve">3.3</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Body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(Section </w:t>
      </w:r>
      <w:hyperlink w:anchor="sec:res-main">
        <w:r>
          <w:rPr>
            <w:rStyle w:val="Hyperlink"/>
          </w:rPr>
          <w:t xml:space="preserve">3.3</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TableCaption"/>
      </w:pP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optimiser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gridSpan w:val="7"/>
          </w:tcPr>
          <w:p>
            <w:pPr>
              <w:pStyle w:val="Compact"/>
              <w:jc w:val="left"/>
            </w:pPr>
            <w:r>
              <w:rPr>
                <w:i/>
                <w:iCs/>
              </w:rPr>
              <w:t xml:space="preserve">Sparse estimators only (STLSQ, ensemble)</w:t>
            </w: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39"/>
    <w:bookmarkStart w:id="43" w:name="fig:kappa"/>
    <w:p>
      <w:pPr>
        <w:pStyle w:val="Captioned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ImageCaption"/>
      </w:pP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Heading2"/>
      </w:pPr>
      <w:r>
        <w:t xml:space="preserve">Tuning the rule-based reference</w:t>
      </w:r>
    </w:p>
    <w:p>
      <w:pPr>
        <w:pStyle w:val="FirstParagraph"/>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Heading2"/>
      </w:pPr>
      <w:r>
        <w:t xml:space="preserve">Simulation-based 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Body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Body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Body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Body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TableCaption"/>
      </w:pP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c>
          <w:tcPr/>
          <w:p>
            <w:pPr>
              <w:pStyle w:val="Compact"/>
            </w:pPr>
          </w:p>
        </w:tc>
        <w:tc>
          <w:tcPr>
            <w:gridSpan w:val="4"/>
          </w:tcPr>
          <w:p>
            <w:pPr>
              <w:pStyle w:val="Compact"/>
              <w:jc w:val="center"/>
            </w:pPr>
            <w:r>
              <w:t xml:space="preserve">Runs</w:t>
            </w:r>
          </w:p>
        </w:tc>
        <w:tc>
          <w:tcPr>
            <w:gridSpan w:val="2"/>
          </w:tcPr>
          <w:p>
            <w:pPr>
              <w:pStyle w:val="Compact"/>
              <w:jc w:val="center"/>
            </w:pPr>
            <w:r>
              <w:t xml:space="preserve">Per-seed means</w:t>
            </w:r>
          </w:p>
        </w:tc>
      </w:tr>
      <w:t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c>
          <w:tcPr/>
          <w:p>
            <w:pPr>
              <w:pStyle w:val="Compact"/>
              <w:jc w:val="center"/>
            </w:pPr>
            <w:r>
              <w:t xml:space="preserve">Wins/seeds</w:t>
            </w:r>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c>
          <w:tcPr/>
          <w:p>
            <w:pPr>
              <w:pStyle w:val="Compact"/>
              <w:jc w:val="center"/>
            </w:pPr>
            <w:r>
              <w:t xml:space="preserve">19/20</w:t>
            </w:r>
          </w:p>
        </w:tc>
        <w:tc>
          <w:tcPr/>
          <w:p>
            <w:pPr>
              <w:pStyle w:val="Compact"/>
              <w:jc w:val="center"/>
            </w:pPr>
            <m:oMath>
              <m:r>
                <m:t>7.4</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c>
          <w:tcPr/>
          <w:p>
            <w:pPr>
              <w:pStyle w:val="Compact"/>
              <w:jc w:val="center"/>
            </w:pPr>
            <w:r>
              <w:t xml:space="preserve">17/20</w:t>
            </w:r>
          </w:p>
        </w:tc>
        <w:tc>
          <w:tcPr/>
          <w:p>
            <w:pPr>
              <w:pStyle w:val="Compact"/>
              <w:jc w:val="center"/>
            </w:pPr>
            <m:oMath>
              <m:r>
                <m:t>0.044</m:t>
              </m:r>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c>
          <w:tcPr/>
          <w:p>
            <w:pPr>
              <w:pStyle w:val="Compact"/>
              <w:jc w:val="center"/>
            </w:pPr>
            <w:r>
              <w:t xml:space="preserve">14/20</w:t>
            </w:r>
          </w:p>
        </w:tc>
        <w:tc>
          <w:tcPr/>
          <w:p>
            <w:pPr>
              <w:pStyle w:val="Compact"/>
              <w:jc w:val="center"/>
            </w:pPr>
            <m:oMath>
              <m:r>
                <m:t>0.53</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c>
          <w:tcPr/>
          <w:p>
            <w:pPr>
              <w:pStyle w:val="Compact"/>
              <w:jc w:val="center"/>
            </w:pPr>
            <w:r>
              <w:t xml:space="preserve">13/20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c>
          <w:tcPr/>
          <w:p>
            <w:pPr>
              <w:pStyle w:val="Compact"/>
              <w:jc w:val="center"/>
            </w:pPr>
            <w:r>
              <w:t xml:space="preserve">9/20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c>
          <w:tcPr/>
          <w:p>
            <w:pPr>
              <w:pStyle w:val="Compact"/>
              <w:jc w:val="center"/>
            </w:pPr>
            <w:r>
              <w:t xml:space="preserve">5/20</w:t>
            </w:r>
          </w:p>
        </w:tc>
        <w:tc>
          <w:tcPr/>
          <w:p>
            <w:pPr>
              <w:pStyle w:val="Compact"/>
              <w:jc w:val="center"/>
            </w:pPr>
            <m:oMath>
              <m:r>
                <m:t>0.075</m:t>
              </m:r>
            </m:oMath>
            <w:r>
              <w:t xml:space="preserve"> </w:t>
            </w:r>
            <w:r>
              <w:t xml:space="preserve">(n.s.)</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c>
          <w:tcPr/>
          <w:p>
            <w:pPr>
              <w:pStyle w:val="Compact"/>
              <w:jc w:val="center"/>
            </w:pPr>
            <w:r>
              <w:t xml:space="preserve">1/20</w:t>
            </w:r>
          </w:p>
        </w:tc>
        <w:tc>
          <w:tcPr/>
          <w:p>
            <w:pPr>
              <w:pStyle w:val="Compact"/>
              <w:jc w:val="center"/>
            </w:pPr>
            <m:oMath>
              <m:r>
                <m:t>1.1</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c>
          <w:tcPr/>
          <w:p>
            <w:pPr>
              <w:pStyle w:val="Compact"/>
              <w:jc w:val="center"/>
            </w:pPr>
            <w:r>
              <w:t xml:space="preserve">7/20</w:t>
            </w:r>
          </w:p>
        </w:tc>
        <w:tc>
          <w:tcPr/>
          <w:p>
            <w:pPr>
              <w:pStyle w:val="Compact"/>
              <w:jc w:val="center"/>
            </w:pPr>
            <m:oMath>
              <m:r>
                <m:t>0.058</m:t>
              </m:r>
            </m:oMath>
            <w:r>
              <w:t xml:space="preserve"> </w:t>
            </w:r>
            <w:r>
              <w:t xml:space="preserve">(n.s.)</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c>
          <w:tcPr/>
          <w:p>
            <w:pPr>
              <w:pStyle w:val="Compact"/>
              <w:jc w:val="center"/>
            </w:pPr>
            <w:r>
              <w:t xml:space="preserve">0/20</w:t>
            </w:r>
          </w:p>
        </w:tc>
        <w:tc>
          <w:tcPr/>
          <w:p>
            <w:pPr>
              <w:pStyle w:val="Compact"/>
              <w:jc w:val="center"/>
            </w:pPr>
            <m:oMath>
              <m:r>
                <m:t>9.3</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0/10</w:t>
            </w:r>
          </w:p>
        </w:tc>
        <w:tc>
          <w:tcPr/>
          <w:p>
            <w:pPr>
              <w:pStyle w:val="Compact"/>
              <w:jc w:val="center"/>
            </w:pPr>
            <m:oMath>
              <m:r>
                <m:t>0.020</m:t>
              </m:r>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Captioned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ImageCaption"/>
      </w:pP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Heading2"/>
      </w:pPr>
      <w:r>
        <w:t xml:space="preserve">Evaluation on four unseen weather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TableCaption"/>
      </w:pP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0.54</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Heading2"/>
      </w:pPr>
      <w:r>
        <w:t xml:space="preserve">Mechanism</w:t>
      </w:r>
    </w:p>
    <w:p>
      <w:pPr>
        <w:pStyle w:val="FirstParagraph"/>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Body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Body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gridSpan w:val="7"/>
          </w:tcPr>
          <w:p>
            <w:pPr>
              <w:pStyle w:val="Compact"/>
              <w:jc w:val="left"/>
            </w:pPr>
            <w:r>
              <w:rPr>
                <w:i/>
                <w:iCs/>
              </w:rPr>
              <w:t xml:space="preserve">STLSQ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(default)</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2.00</m:t>
              </m:r>
            </m:oMath>
            <w:r>
              <w:t xml:space="preserve">​</w:t>
            </w:r>
          </w:p>
        </w:tc>
        <w:tc>
          <w:tcPr/>
          <w:p>
            <w:pPr>
              <w:pStyle w:val="Compact"/>
              <w:jc w:val="center"/>
            </w:pPr>
            <m:oMath>
              <m:r>
                <m:t>4.39</m:t>
              </m:r>
              <m:r>
                <m:rPr>
                  <m:sty m:val="p"/>
                </m:rPr>
                <m:t>±</m:t>
              </m:r>
              <m:r>
                <m:t>1.46</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7"/>
    <w:p/>
    <w:bookmarkStart w:id="58"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c>
          <w:tcPr/>
          <w:p>
            <w:pPr>
              <w:pStyle w:val="Compact"/>
            </w:pPr>
          </w:p>
        </w:tc>
        <w:tc>
          <w:tcPr>
            <w:gridSpan w:val="2"/>
          </w:tcPr>
          <w:p>
            <w:pPr>
              <w:pStyle w:val="Compact"/>
              <w:jc w:val="center"/>
            </w:pPr>
            <w:r>
              <w:t xml:space="preserve">Default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Captioned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ImageCaption"/>
      </w:pP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Heading2"/>
      </w:pPr>
      <w:r>
        <w:t xml:space="preserve">Alternative explanations</w:t>
      </w:r>
    </w:p>
    <w:p>
      <w:pPr>
        <w:pStyle w:val="FirstParagraph"/>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Body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Body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Body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18.28</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4.53</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5"/>
    <w:bookmarkEnd w:id="66"/>
    <w:bookmarkStart w:id="72" w:name="sec:res-sens"/>
    <w:p>
      <w:pPr>
        <w:pStyle w:val="Heading2"/>
      </w:pPr>
      <w:r>
        <w:t xml:space="preserve">Sensitivity to design parameters and to prices</w:t>
      </w:r>
    </w:p>
    <w:p>
      <w:pPr>
        <w:pStyle w:val="FirstParagraph"/>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8.12</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7"/>
    <w:bookmarkStart w:id="71" w:name="fig:perturb"/>
    <w:p>
      <w:pPr>
        <w:pStyle w:val="CaptionedFigure"/>
      </w:pPr>
      <w:r>
        <w:drawing>
          <wp:inline>
            <wp:extent cx="5339851"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339851" cy="2636341"/>
                    </a:xfrm>
                    <a:prstGeom prst="rect">
                      <a:avLst/>
                    </a:prstGeom>
                    <a:noFill/>
                    <a:ln w="9525">
                      <a:noFill/>
                      <a:headEnd/>
                      <a:tailEnd/>
                    </a:ln>
                  </pic:spPr>
                </pic:pic>
              </a:graphicData>
            </a:graphic>
          </wp:inline>
        </w:drawing>
      </w:r>
    </w:p>
    <w:p>
      <w:pPr>
        <w:pStyle w:val="ImageCaption"/>
      </w:pP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Heading1"/>
      </w:pPr>
      <w:r>
        <w:t xml:space="preserve">Discussion</w:t>
      </w:r>
    </w:p>
    <w:bookmarkStart w:id="74"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Body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Body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Body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Body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Heading2"/>
      </w:pPr>
      <w:r>
        <w:t xml:space="preserve">A cheap open-loop rule for selecting a control-oriented surrogate</w:t>
      </w:r>
    </w:p>
    <w:p>
      <w:pPr>
        <w:pStyle w:val="FirstParagraph"/>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Body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Body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Heading2"/>
      </w:pPr>
      <w:r>
        <w:t xml:space="preserve">Sparsity and the library effect</w:t>
      </w:r>
    </w:p>
    <w:p>
      <w:pPr>
        <w:pStyle w:val="FirstParagraph"/>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Heading2"/>
      </w:pPr>
      <w:r>
        <w:t xml:space="preserve">Sensitivity to baseline tuning and economic weighting</w:t>
      </w:r>
    </w:p>
    <w:p>
      <w:pPr>
        <w:pStyle w:val="FirstParagraph"/>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Body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Body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Heading2"/>
      </w:pPr>
      <w:r>
        <w:t xml:space="preserve">Relation to prior work</w:t>
      </w:r>
    </w:p>
    <w:p>
      <w:pPr>
        <w:pStyle w:val="FirstParagraph"/>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Body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Heading2"/>
      </w:pPr>
      <w:r>
        <w:t xml:space="preserve">Limitations</w:t>
      </w:r>
    </w:p>
    <w:p>
      <w:pPr>
        <w:pStyle w:val="FirstParagraph"/>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Body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Body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Body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Body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Body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Body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1.89</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1.76</w:t>
            </w:r>
          </w:p>
        </w:tc>
        <w:tc>
          <w:tcPr/>
          <w:p>
            <w:pPr>
              <w:pStyle w:val="Compact"/>
              <w:jc w:val="center"/>
            </w:pPr>
            <w:r>
              <w:t xml:space="preserve">21.57 [15.56, 31.74]</w:t>
            </w:r>
          </w:p>
        </w:tc>
        <w:tc>
          <w:tcPr/>
          <w:p>
            <w:pPr>
              <w:pStyle w:val="Compact"/>
              <w:jc w:val="center"/>
            </w:pPr>
            <w:r>
              <w:t xml:space="preserve">0.086</w:t>
            </w:r>
          </w:p>
        </w:tc>
      </w:tr>
    </w:tbl>
    <w:bookmarkEnd w:id="79"/>
    <w:p/>
    <w:bookmarkStart w:id="80" w:name="tab:disc-defects"/>
    <w:p>
      <w:pPr>
        <w:pStyle w:val="TableCaption"/>
      </w:pPr>
      <w:r>
        <w:t xml:space="preserve">Sensitivity of the headline comparison to two benchmarking safeguards.</w:t>
      </w:r>
      <w:r>
        <w:t xml:space="preserve"> </w:t>
      </w:r>
      <w:r>
        <w:t xml:space="preserve">EPI is the simulated seasonal margin returned by the virtual greenhouse.</w:t>
      </w:r>
    </w:p>
    <w:tbl>
      <w:tblPr>
        <w:tblStyle w:val="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p>
            <w:pPr>
              <w:pStyle w:val="Compact"/>
            </w:pPr>
          </w:p>
        </w:tc>
        <w:tc>
          <w:tcPr/>
          <w:p>
            <w:pPr>
              <w:pStyle w:val="Compact"/>
              <w:jc w:val="left"/>
            </w:pPr>
            <w:r>
              <w:rPr>
                <w:i/>
                <w:iCs/>
              </w:rPr>
              <w:t xml:space="preserve">Safeguard 1</w:t>
            </w:r>
            <w:r>
              <w:t xml:space="preserve">: tuned baseline</w:t>
            </w:r>
          </w:p>
        </w:tc>
        <w:tc>
          <w:tcPr/>
          <w:p>
            <w:pPr>
              <w:pStyle w:val="Compact"/>
              <w:jc w:val="left"/>
            </w:pPr>
            <w:r>
              <w:rPr>
                <w:i/>
                <w:iCs/>
              </w:rPr>
              <w:t xml:space="preserve">Safeguard 2</w:t>
            </w:r>
            <w:r>
              <w:t xml:space="preserve">: price-aligned stage cost</w:t>
            </w:r>
          </w:p>
        </w:tc>
      </w:tr>
      <w:tr>
        <w:tc>
          <w:tcPr/>
          <w:p>
            <w:pPr>
              <w:pStyle w:val="Compact"/>
              <w:jc w:val="left"/>
            </w:pPr>
            <w:r>
              <w:t xml:space="preserve">Risk controlled</w:t>
            </w:r>
          </w:p>
        </w:tc>
        <w:tc>
          <w:tcPr/>
          <w:p>
            <w:pPr>
              <w:pStyle w:val="Compact"/>
              <w:jc w:val="left"/>
            </w:pPr>
            <w:r>
              <w:t xml:space="preserve">comparison with an otherwise credible but unsearched agronomic heuristic</w:t>
            </w:r>
          </w:p>
        </w:tc>
        <w:tc>
          <w:tcPr/>
          <w:p>
            <w:pPr>
              <w:pStyle w:val="Compact"/>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p>
            <w:pPr>
              <w:pStyle w:val="Compact"/>
              <w:jc w:val="left"/>
            </w:pPr>
            <w:r>
              <w:t xml:space="preserve">Implementation</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comparison</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Captioned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ImageCaption"/>
      </w:pP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and the four short horizontal lines at the correction bar mark where the contrast would end</w:t>
      </w:r>
      <w:r>
        <w:t xml:space="preserve"> </w:t>
      </w:r>
      <w:r>
        <w:t xml:space="preserve">if the correction were the tuning gain of a single test season.</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Heading1"/>
      </w:pPr>
      <w:r>
        <w:t xml:space="preserve">Conclusions</w:t>
      </w:r>
    </w:p>
    <w:p>
      <w:pPr>
        <w:pStyle w:val="FirstParagraph"/>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Body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Body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Body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Body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Body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Body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Body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TableCaption"/>
      </w:pP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Benchmarking safeguards,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priced_mech/​mechanism_pricedMech*.csv</w:t>
            </w:r>
          </w:p>
        </w:tc>
      </w:tr>
      <w:tr>
        <w:tc>
          <w:tcPr/>
          <w:p>
            <w:pPr>
              <w:pStyle w:val="Compact"/>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Captioned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FirstParagraph"/>
      </w:pPr>
      <w:r>
        <w:rPr>
          <w:b/>
          <w:bCs/>
        </w:rPr>
        <w:t xml:space="preserve">Supplementary Materials:</w:t>
      </w:r>
      <w:r>
        <w:t xml:space="preserve"> </w:t>
      </w:r>
      <w:r>
        <w:t xml:space="preserve">Not applicable.</w:t>
      </w:r>
    </w:p>
    <w:p>
      <w:pPr>
        <w:pStyle w:val="BodyText"/>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BodyText"/>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archived replication package</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Acknowledgments:</w:t>
      </w:r>
      <w:r>
        <w:t xml:space="preserve"> </w:t>
      </w:r>
      <w:r>
        <w:t xml:space="preserve">Not applicable.</w:t>
      </w:r>
    </w:p>
    <w:p>
      <w:pPr>
        <w:pStyle w:val="BodyText"/>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6" w:name="references"/>
    <w:p>
      <w:pPr>
        <w:pStyle w:val="Heading1"/>
      </w:pPr>
      <w:r>
        <w:t xml:space="preserve">References</w:t>
      </w:r>
    </w:p>
    <w:p>
      <w:pPr>
        <w:pStyle w:val="FirstParagraph"/>
      </w:pPr>
      <w:r>
        <w:t xml:space="preserve">1. 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BodyText"/>
      </w:pPr>
      <w:r>
        <w:t xml:space="preserve">7. 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BodyText"/>
      </w:pPr>
      <w:r>
        <w:t xml:space="preserve">8. 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BodyText"/>
      </w:pPr>
      <w:r>
        <w:t xml:space="preserve">9. 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BodyText"/>
      </w:pPr>
      <w:r>
        <w:t xml:space="preserve">10.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BodyText"/>
      </w:pPr>
      <w:r>
        <w:t xml:space="preserve">11.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BodyText"/>
      </w:pPr>
      <w:r>
        <w:t xml:space="preserve">12.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BodyText"/>
      </w:pPr>
      <w:r>
        <w:t xml:space="preserve">13.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BodyText"/>
      </w:pPr>
      <w:r>
        <w:t xml:space="preserve">14.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BodyText"/>
      </w:pPr>
      <w:r>
        <w:t xml:space="preserve">15.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BodyText"/>
      </w:pPr>
      <w:r>
        <w:t xml:space="preserve">16.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BodyText"/>
      </w:pPr>
      <w:r>
        <w:t xml:space="preserve">17.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BodyText"/>
      </w:pPr>
      <w:r>
        <w:t xml:space="preserve">18. Ljung, L.</w:t>
      </w:r>
      <w:r>
        <w:t xml:space="preserve"> </w:t>
      </w:r>
      <w:r>
        <w:rPr>
          <w:i/>
          <w:iCs/>
        </w:rPr>
        <w:t xml:space="preserve">System Identification: Theory for the User</w:t>
      </w:r>
      <w:r>
        <w:t xml:space="preserve">, 2nd ed.; Prentice Hall: Upper Saddle River, NJ, USA, 1999.</w:t>
      </w:r>
    </w:p>
    <w:p>
      <w:pPr>
        <w:pStyle w:val="BodyText"/>
      </w:pPr>
      <w:r>
        <w:t xml:space="preserve">19.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BodyText"/>
      </w:pPr>
      <w:r>
        <w:t xml:space="preserve">20. 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BodyText"/>
      </w:pPr>
      <w:r>
        <w:t xml:space="preserve">21.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22.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23.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24.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 Available online:</w:t>
      </w:r>
      <w:r>
        <w:t xml:space="preserve"> </w:t>
      </w:r>
      <w:hyperlink r:id="rId111">
        <w:r>
          <w:rPr>
            <w:rStyle w:val="Hyperlink"/>
          </w:rPr>
          <w:t xml:space="preserve">https://openreview.net/forum?id=tQVZgvXhZb</w:t>
        </w:r>
      </w:hyperlink>
      <w:r>
        <w:t xml:space="preserve"> </w:t>
      </w:r>
      <w:r>
        <w:t xml:space="preserve">(accessed on 23 September 2026).</w:t>
      </w:r>
    </w:p>
    <w:p>
      <w:pPr>
        <w:pStyle w:val="BodyText"/>
      </w:pPr>
      <w:r>
        <w:t xml:space="preserve">25.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26.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2">
        <w:r>
          <w:rPr>
            <w:rStyle w:val="Hyperlink"/>
          </w:rPr>
          <w:t xml:space="preserve">https://doi.org/10.1016/j.jcp.2018.10.045</w:t>
        </w:r>
      </w:hyperlink>
    </w:p>
    <w:p>
      <w:pPr>
        <w:pStyle w:val="BodyText"/>
      </w:pPr>
      <w:r>
        <w:t xml:space="preserve">27.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3">
        <w:r>
          <w:rPr>
            <w:rStyle w:val="Hyperlink"/>
          </w:rPr>
          <w:t xml:space="preserve">https://doi.org/10.1038/s42254-021-00314-5</w:t>
        </w:r>
      </w:hyperlink>
    </w:p>
    <w:p>
      <w:pPr>
        <w:pStyle w:val="BodyText"/>
      </w:pPr>
      <w:r>
        <w:t xml:space="preserve">28.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4">
        <w:r>
          <w:rPr>
            <w:rStyle w:val="Hyperlink"/>
          </w:rPr>
          <w:t xml:space="preserve">https://doi.org/10.1016/j.cma.2020.113620</w:t>
        </w:r>
      </w:hyperlink>
    </w:p>
    <w:p>
      <w:pPr>
        <w:pStyle w:val="BodyText"/>
      </w:pPr>
      <w:r>
        <w:t xml:space="preserve">29.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30.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31.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32.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33.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5">
        <w:r>
          <w:rPr>
            <w:rStyle w:val="Hyperlink"/>
          </w:rPr>
          <w:t xml:space="preserve">https://doi.org/10.2307/3001968</w:t>
        </w:r>
      </w:hyperlink>
    </w:p>
    <w:p>
      <w:pPr>
        <w:pStyle w:val="BodyText"/>
      </w:pPr>
      <w:r>
        <w:t xml:space="preserve">34.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35.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36.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6">
        <w:r>
          <w:rPr>
            <w:rStyle w:val="Hyperlink"/>
          </w:rPr>
          <w:t xml:space="preserve">https://doi.org/10.1002/qj.3803</w:t>
        </w:r>
      </w:hyperlink>
    </w:p>
    <w:p>
      <w:pPr>
        <w:pStyle w:val="BodyText"/>
      </w:pPr>
      <w:r>
        <w:t xml:space="preserve">37. Zippenfenig, P. Open-Meteo.com Weather API, 2023; Zenodo (concept DOI, all versions).</w:t>
      </w:r>
      <w:r>
        <w:t xml:space="preserve"> </w:t>
      </w:r>
      <w:hyperlink r:id="rId117">
        <w:r>
          <w:rPr>
            <w:rStyle w:val="Hyperlink"/>
          </w:rPr>
          <w:t xml:space="preserve">https://doi.org/10.5281/zenodo.7970649</w:t>
        </w:r>
      </w:hyperlink>
      <w:r>
        <w:t xml:space="preserve">. Historical archive endpoint available online:</w:t>
      </w:r>
      <w:r>
        <w:t xml:space="preserve"> </w:t>
      </w:r>
      <w:hyperlink r:id="rId118">
        <w:r>
          <w:rPr>
            <w:rStyle w:val="Hyperlink"/>
          </w:rPr>
          <w:t xml:space="preserve">https://archive-api.open-meteo.com/v1/archive</w:t>
        </w:r>
      </w:hyperlink>
      <w:r>
        <w:t xml:space="preserve"> </w:t>
      </w:r>
      <w:r>
        <w:t xml:space="preserve">(accessed on 11 August 2026).</w:t>
      </w:r>
    </w:p>
    <w:p>
      <w:pPr>
        <w:pStyle w:val="BodyText"/>
      </w:pPr>
      <w:r>
        <w:t xml:space="preserve">38.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9">
        <w:r>
          <w:rPr>
            <w:rStyle w:val="Hyperlink"/>
          </w:rPr>
          <w:t xml:space="preserve">https://doi.org/10.1007/s10107-004-0559-y</w:t>
        </w:r>
      </w:hyperlink>
    </w:p>
    <w:p>
      <w:pPr>
        <w:pStyle w:val="BodyText"/>
      </w:pPr>
      <w:r>
        <w:t xml:space="preserve">39.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20">
        <w:r>
          <w:rPr>
            <w:rStyle w:val="Hyperlink"/>
          </w:rPr>
          <w:t xml:space="preserve">https://doi.org/10.1016/j.conengprac.2023.105676</w:t>
        </w:r>
      </w:hyperlink>
    </w:p>
    <w:p>
      <w:pPr>
        <w:pStyle w:val="BodyText"/>
      </w:pPr>
      <w:r>
        <w:t xml:space="preserve">40. Efron, B.; Tibshirani, R.J.</w:t>
      </w:r>
      <w:r>
        <w:t xml:space="preserve"> </w:t>
      </w:r>
      <w:r>
        <w:rPr>
          <w:i/>
          <w:iCs/>
        </w:rPr>
        <w:t xml:space="preserve">An Introduction to the Bootstrap</w:t>
      </w:r>
      <w:r>
        <w:t xml:space="preserve">; Chapman &amp; Hall/CRC: New York, NY, USA, 1994.</w:t>
      </w:r>
      <w:r>
        <w:t xml:space="preserve"> </w:t>
      </w:r>
      <w:hyperlink r:id="rId121">
        <w:r>
          <w:rPr>
            <w:rStyle w:val="Hyperlink"/>
          </w:rPr>
          <w:t xml:space="preserve">https://doi.org/10.1201/9780429246593</w:t>
        </w:r>
      </w:hyperlink>
    </w:p>
    <w:p>
      <w:pPr>
        <w:pStyle w:val="BodyText"/>
      </w:pPr>
      <w:r>
        <w:t xml:space="preserve">41.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42.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43.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44.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45. Henderson, P.; Islam, R.; Bachman, P.; Pineau, J.; Precup, D.; Meger, D. Deep reinforcement learning that matters. In Proceedings of the 32nd AAAI Conference on Artificial Intelligence (AAAI-18), New Orleans, LA, USA, 2–7 February 2018; pp. 3207–3214.</w:t>
      </w:r>
      <w:r>
        <w:t xml:space="preserve"> </w:t>
      </w:r>
      <w:hyperlink r:id="rId122">
        <w:r>
          <w:rPr>
            <w:rStyle w:val="Hyperlink"/>
          </w:rPr>
          <w:t xml:space="preserve">https://doi.org/10.1609/aaai.v32i1.11694</w:t>
        </w:r>
      </w:hyperlink>
    </w:p>
    <w:p>
      <w:pPr>
        <w:pStyle w:val="BodyText"/>
      </w:pPr>
      <w:r>
        <w:t xml:space="preserve">46.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3">
        <w:r>
          <w:rPr>
            <w:rStyle w:val="Hyperlink"/>
          </w:rPr>
          <w:t xml:space="preserve">https://doi.org/10.1016/j.automatica.2004.11.021</w:t>
        </w:r>
      </w:hyperlink>
    </w:p>
    <w:p>
      <w:pPr>
        <w:pStyle w:val="BodyText"/>
      </w:pPr>
      <w:r>
        <w:t xml:space="preserve">47.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4">
        <w:r>
          <w:rPr>
            <w:rStyle w:val="Hyperlink"/>
          </w:rPr>
          <w:t xml:space="preserve">https://doi.org/10.1002/0471725153</w:t>
        </w:r>
      </w:hyperlink>
    </w:p>
    <w:p>
      <w:pPr>
        <w:pStyle w:val="BodyText"/>
      </w:pPr>
      <w:r>
        <w:t xml:space="preserve">48. 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5">
        <w:r>
          <w:rPr>
            <w:rStyle w:val="Hyperlink"/>
          </w:rPr>
          <w:t xml:space="preserve">https://doi.org/10.3390/agronomy15122781</w:t>
        </w:r>
      </w:hyperlink>
    </w:p>
    <w:bookmarkEnd w:id="126"/>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81" Target="media/rId81.png" /><Relationship Type="http://schemas.openxmlformats.org/officeDocument/2006/relationships/hyperlink" Id="rId118" Target="https://archive-api.open-meteo.com/v1/archive" TargetMode="External" /><Relationship Type="http://schemas.openxmlformats.org/officeDocument/2006/relationships/hyperlink" Id="rId124" Target="https://doi.org/10.1002/0471725153" TargetMode="External" /><Relationship Type="http://schemas.openxmlformats.org/officeDocument/2006/relationships/hyperlink" Id="rId116"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9"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3"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4"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20"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2" Target="https://doi.org/10.1016/j.jcp.2018.10.045" TargetMode="External" /><Relationship Type="http://schemas.openxmlformats.org/officeDocument/2006/relationships/hyperlink" Id="rId113"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1" Target="https://doi.org/10.1201/9780429246593" TargetMode="External" /><Relationship Type="http://schemas.openxmlformats.org/officeDocument/2006/relationships/hyperlink" Id="rId122"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5"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5" Target="https://doi.org/10.3390/agronomy15122781" TargetMode="External" /><Relationship Type="http://schemas.openxmlformats.org/officeDocument/2006/relationships/hyperlink" Id="rId117" Target="https://doi.org/10.5281/zenodo.7970649" TargetMode="External" /><Relationship Type="http://schemas.openxmlformats.org/officeDocument/2006/relationships/hyperlink" Id="rId111" Target="https://openreview.net/forum?id=tQVZgvXhZb" TargetMode="External" /></Relationships>
</file>

<file path=word/_rels/footnotes.xml.rels><?xml version="1.0" encoding="UTF-8"?><Relationships xmlns="http://schemas.openxmlformats.org/package/2006/relationships"><Relationship Type="http://schemas.openxmlformats.org/officeDocument/2006/relationships/hyperlink" Id="rId118" Target="https://archive-api.open-meteo.com/v1/archive" TargetMode="External" /><Relationship Type="http://schemas.openxmlformats.org/officeDocument/2006/relationships/hyperlink" Id="rId124" Target="https://doi.org/10.1002/0471725153" TargetMode="External" /><Relationship Type="http://schemas.openxmlformats.org/officeDocument/2006/relationships/hyperlink" Id="rId116"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9"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3"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4"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20"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2" Target="https://doi.org/10.1016/j.jcp.2018.10.045" TargetMode="External" /><Relationship Type="http://schemas.openxmlformats.org/officeDocument/2006/relationships/hyperlink" Id="rId113"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1" Target="https://doi.org/10.1201/9780429246593" TargetMode="External" /><Relationship Type="http://schemas.openxmlformats.org/officeDocument/2006/relationships/hyperlink" Id="rId122"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5"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5" Target="https://doi.org/10.3390/agronomy15122781" TargetMode="External" /><Relationship Type="http://schemas.openxmlformats.org/officeDocument/2006/relationships/hyperlink" Id="rId117" Target="https://doi.org/10.5281/zenodo.7970649" TargetMode="External" /><Relationship Type="http://schemas.openxmlformats.org/officeDocument/2006/relationships/hyperlink" Id="rId111" Target="https://openreview.net/forum?id=tQVZgvXhZb"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2026-09-23T07:40:46Z</dcterms:created>
  <dcterms:modified xsi:type="dcterms:W3CDTF">2026-09-23T07:40:46Z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Among first-order, undenoised configurations under sparse estimators,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