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3.png" ContentType="image/png"/>
  <Override PartName="/word/media/rId26.png" ContentType="image/png"/>
  <Override PartName="/word/media/rId35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Когда разреженность скрывает исполнительный механизм: предварительно зарегистрированное экономическое сопоставительное исследование SINDy-MPC для управления микроклиматом теплицы</w:t>
      </w:r>
    </w:p>
    <w:p>
      <w:pPr>
        <w:pStyle w:val="Author"/>
      </w:pPr>
      <w:r>
        <w:t xml:space="preserve">Автор Первый</w:t>
      </w:r>
    </w:p>
    <w:p>
      <w:pPr>
        <w:pStyle w:val="Author"/>
      </w:pPr>
      <w:r>
        <w:t xml:space="preserve">Автор Второй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Интерпретируемые суррогатные модели, восстановленные из данных, — в частности,</w:t>
      </w:r>
      <w:r>
        <w:t xml:space="preserve"> </w:t>
      </w:r>
      <w:r>
        <w:t xml:space="preserve">разреженная идентификация нелинейной динамики (SINDy), — привлекательны для</w:t>
      </w:r>
      <w:r>
        <w:t xml:space="preserve"> </w:t>
      </w:r>
      <w:r>
        <w:t xml:space="preserve">модельно-прогнозирующего управления (МПУ) микроклиматом теплицы, поскольку дают явные,</w:t>
      </w:r>
      <w:r>
        <w:t xml:space="preserve"> </w:t>
      </w:r>
      <w:r>
        <w:t xml:space="preserve">поддающиеся проверке уравнения, а не «чёрный ящик». Однако цену такой интерпретируемости</w:t>
      </w:r>
      <w:r>
        <w:t xml:space="preserve"> </w:t>
      </w:r>
      <w:r>
        <w:t xml:space="preserve">редко измеряют при честном протоколе: эталоны сравнения не настроены, метрикой служит</w:t>
      </w:r>
      <w:r>
        <w:t xml:space="preserve"> </w:t>
      </w:r>
      <w:r>
        <w:t xml:space="preserve">косвенный показатель слежения, а не прибыль, и — что наименее очевидно — рецепт</w:t>
      </w:r>
      <w:r>
        <w:t xml:space="preserve"> </w:t>
      </w:r>
      <w:r>
        <w:t xml:space="preserve">идентификации выбирают по качеству прогноза в разомкнутом контуре. В работе приводится</w:t>
      </w:r>
      <w:r>
        <w:t xml:space="preserve"> </w:t>
      </w:r>
      <w:r>
        <w:t xml:space="preserve">предварительно зарегистрированное вычислительное экономическое сопоставительное</w:t>
      </w:r>
      <w:r>
        <w:t xml:space="preserve"> </w:t>
      </w:r>
      <w:r>
        <w:t xml:space="preserve">исследование десяти регуляторов на имитационной модели томатной теплицы GreenLight</w:t>
      </w:r>
      <w:r>
        <w:t xml:space="preserve"> </w:t>
      </w:r>
      <w:r>
        <w:t xml:space="preserve">(Ростов-на-Дону, реальная погода ERA5 2018–2023). Первичной метрикой служит собственный</w:t>
      </w:r>
      <w:r>
        <w:t xml:space="preserve"> </w:t>
      </w:r>
      <w:r>
        <w:t xml:space="preserve">экономический показатель эффективности симулятора (EPI, сезонная прибыль), первичным</w:t>
      </w:r>
      <w:r>
        <w:t xml:space="preserve"> </w:t>
      </w:r>
      <w:r>
        <w:t xml:space="preserve">критерием — двухосевое доминирование по Парето (EPI против числа нарушений ограничений),</w:t>
      </w:r>
      <w:r>
        <w:t xml:space="preserve"> </w:t>
      </w:r>
      <w:r>
        <w:t xml:space="preserve">на 20 независимых повторах с парной непараметрической статистикой. Предварительно</w:t>
      </w:r>
      <w:r>
        <w:t xml:space="preserve"> </w:t>
      </w:r>
      <w:r>
        <w:t xml:space="preserve">зарегистрированный рецепт SINDy-MPC, замороженный по разомкнутым метрикам до какой-либо</w:t>
      </w:r>
      <w:r>
        <w:t xml:space="preserve"> </w:t>
      </w:r>
      <w:r>
        <w:t xml:space="preserve">оценки в замкнутом контуре, экономически оказывается среди слабейших интерпретируемых</w:t>
      </w:r>
      <w:r>
        <w:t xml:space="preserve"> </w:t>
      </w:r>
      <w:r>
        <w:t xml:space="preserve">регуляторов (</w:t>
      </w:r>
      <m:oMath>
        <m:r>
          <m:t>1</m:t>
        </m:r>
        <m:r>
          <m:rPr>
            <m:sty m:val="p"/>
          </m:rPr>
          <m:t>,</m:t>
        </m:r>
        <m:r>
          <m:t>18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63</m:t>
        </m:r>
        <m:r>
          <m:t> </m:t>
        </m:r>
        <m:sSup>
          <m:e>
            <m:r>
              <m:rPr>
                <m:nor/>
                <m:sty m:val="p"/>
              </m:rPr>
              <m:t>EUR/м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у настроенного эталона на правилах).</w:t>
      </w:r>
      <w:r>
        <w:t xml:space="preserve"> </w:t>
      </w:r>
      <w:r>
        <w:t xml:space="preserve">Однопараметрическая абляция вскрывает причину: порог разреженности обнуляет член котла в</w:t>
      </w:r>
      <w:r>
        <w:t xml:space="preserve"> </w:t>
      </w:r>
      <w:r>
        <w:t xml:space="preserve">уравнении температуры — единственный смоделированный орган нагрева, — и EPI в замкнутом</w:t>
      </w:r>
      <w:r>
        <w:t xml:space="preserve"> </w:t>
      </w:r>
      <w:r>
        <w:t xml:space="preserve">контуре обрушивается с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</m:t>
        </m:r>
        <m:r>
          <m:t> </m:t>
        </m:r>
        <m:sSup>
          <m:e>
            <m:r>
              <m:rPr>
                <m:nor/>
                <m:sty m:val="p"/>
              </m:rPr>
              <m:t>EUR/м</m:t>
            </m:r>
          </m:e>
          <m:sup>
            <m:r>
              <m:t>2</m:t>
            </m:r>
          </m:sup>
        </m:sSup>
      </m:oMath>
      <w:r>
        <w:t xml:space="preserve">, тогда как ошибка многошагового</w:t>
      </w:r>
      <w:r>
        <w:t xml:space="preserve"> </w:t>
      </w:r>
      <w:r>
        <w:t xml:space="preserve">прогноза в разомкнутом контуре остаётся почти неизменной (</w:t>
      </w:r>
      <m:oMath>
        <m:r>
          <m:t>2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,</m:t>
        </m:r>
        <m:r>
          <m:t>39</m:t>
        </m:r>
      </m:oMath>
      <w:r>
        <w:t xml:space="preserve">). Тем самым</w:t>
      </w:r>
      <w:r>
        <w:t xml:space="preserve"> </w:t>
      </w:r>
      <w:r>
        <w:t xml:space="preserve">критерий отбора по разомкнутому контуру нечувствителен к тому провалу замкнутого контура,</w:t>
      </w:r>
      <w:r>
        <w:t xml:space="preserve"> </w:t>
      </w:r>
      <w:r>
        <w:t xml:space="preserve">который он порождает. Восстановление члена — более плотным порогом либо методом DAgger —</w:t>
      </w:r>
      <w:r>
        <w:t xml:space="preserve"> </w:t>
      </w:r>
      <w:r>
        <w:t xml:space="preserve">возвращает EPI к паритету с эвристикой без потери интерпретируемости, а восстановленная</w:t>
      </w:r>
      <w:r>
        <w:t xml:space="preserve"> </w:t>
      </w:r>
      <w:r>
        <w:t xml:space="preserve">модель совпадает с первопринципной моделью «серого ящика». Сравнение с дополнительными</w:t>
      </w:r>
      <w:r>
        <w:t xml:space="preserve"> </w:t>
      </w:r>
      <w:r>
        <w:t xml:space="preserve">регуляторами исключает очевидные альтернативные объяснения: оракул по истинной модели</w:t>
      </w:r>
      <w:r>
        <w:t xml:space="preserve"> </w:t>
      </w:r>
      <w:r>
        <w:t xml:space="preserve">перерасходует ресурсы и не является верхней границей; нормированный PPO улучшается, но не</w:t>
      </w:r>
      <w:r>
        <w:t xml:space="preserve"> </w:t>
      </w:r>
      <w:r>
        <w:t xml:space="preserve">выигрывает; нейросетевое МПУ — худшее. Следовательно, узким местом не являются ни</w:t>
      </w:r>
      <w:r>
        <w:t xml:space="preserve"> </w:t>
      </w:r>
      <w:r>
        <w:t xml:space="preserve">недостаточная точность модели, ни интерпретируемость. Доказуемая ценность интерпретируемой</w:t>
      </w:r>
      <w:r>
        <w:t xml:space="preserve"> </w:t>
      </w:r>
      <w:r>
        <w:t xml:space="preserve">суррогатной модели лежит не в экономическом превосходстве, а в безопасности и защите при</w:t>
      </w:r>
      <w:r>
        <w:t xml:space="preserve"> </w:t>
      </w:r>
      <w:r>
        <w:t xml:space="preserve">выходе за пределы обучающего распределения. Сделан вывод: экономность модели не тождественна</w:t>
      </w:r>
      <w:r>
        <w:t xml:space="preserve"> </w:t>
      </w:r>
      <w:r>
        <w:t xml:space="preserve">её интерпретируемости; разреженность недопустимо включать в критерии отбора модели, когда</w:t>
      </w:r>
      <w:r>
        <w:t xml:space="preserve"> </w:t>
      </w:r>
      <w:r>
        <w:t xml:space="preserve">конечной задачей является управление в замкнутом контуре; предрегистрация, замороженная по</w:t>
      </w:r>
      <w:r>
        <w:t xml:space="preserve"> </w:t>
      </w:r>
      <w:r>
        <w:t xml:space="preserve">разомкнутому контуру, способна систематически удостоверять катастрофичную для управления</w:t>
      </w:r>
      <w:r>
        <w:t xml:space="preserve"> </w:t>
      </w:r>
      <w:r>
        <w:t xml:space="preserve">модель.</w:t>
      </w:r>
    </w:p>
    <w:p>
      <w:pPr>
        <w:pStyle w:val="FirstParagraph"/>
      </w:pPr>
      <w:r>
        <w:t xml:space="preserve">управление микроклиматом теплицы ,модельно-прогнозирующее управление ,</w:t>
      </w:r>
      <w:r>
        <w:t xml:space="preserve"> </w:t>
      </w:r>
      <w:r>
        <w:t xml:space="preserve">разреженная идентификация нелинейной динамики ,интерпретируемое машинное обучение ,</w:t>
      </w:r>
      <w:r>
        <w:t xml:space="preserve"> </w:t>
      </w:r>
      <w:r>
        <w:t xml:space="preserve">идентификация для целей управления ,экономическое сопоставительное исследование</w:t>
      </w:r>
    </w:p>
    <w:bookmarkStart w:id="9" w:name="sec:intro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Тепличное овощеводство — энергоёмкая отрасль, где решения по управлению климатом прямо</w:t>
      </w:r>
      <w:r>
        <w:t xml:space="preserve"> </w:t>
      </w:r>
      <w:r>
        <w:t xml:space="preserve">переходят в прибыль: нагрев, подкормка CO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досветка составляют основную</w:t>
      </w:r>
      <w:r>
        <w:t xml:space="preserve"> </w:t>
      </w:r>
      <w:r>
        <w:t xml:space="preserve">долю переменных затрат, и их приходится балансировать против выручки от прироста урожая.</w:t>
      </w:r>
      <w:r>
        <w:t xml:space="preserve"> </w:t>
      </w:r>
      <w:r>
        <w:t xml:space="preserve">Модельно-прогнозирующее управление (МПУ) здесь естественно, поскольку оно оптимизирует</w:t>
      </w:r>
      <w:r>
        <w:t xml:space="preserve"> </w:t>
      </w:r>
      <w:r>
        <w:t xml:space="preserve">целевую функцию на конечном горизонте при ограничениях на температуру, влажность и</w:t>
      </w:r>
      <w:r>
        <w:t xml:space="preserve"> </w:t>
      </w:r>
      <w:r>
        <w:t xml:space="preserve">CO</w:t>
      </w:r>
      <w:r>
        <w:rPr>
          <w:vertAlign w:val="subscript"/>
        </w:rPr>
        <w:t xml:space="preserve">2</w:t>
      </w:r>
      <w:r>
        <w:t xml:space="preserve">, задающих продуктивный климат</w:t>
      </w:r>
      <w:r>
        <w:t xml:space="preserve"> </w:t>
      </w:r>
      <w:r>
        <w:t xml:space="preserve">(Henten 1994 г.; Mayne и др. 2000 г.; Lin и др. 2021 г.)</w:t>
      </w:r>
      <w:r>
        <w:t xml:space="preserve">. Однако МПУ нуждается</w:t>
      </w:r>
      <w:r>
        <w:t xml:space="preserve"> </w:t>
      </w:r>
      <w:r>
        <w:t xml:space="preserve">в модели, а первопринципные модели теплицы трудоёмки в построении и калибровке. Это</w:t>
      </w:r>
      <w:r>
        <w:t xml:space="preserve"> </w:t>
      </w:r>
      <w:r>
        <w:t xml:space="preserve">мотивирует суррогатные модели, восстанавливаемые из данных, и в частности SINDy —</w:t>
      </w:r>
      <w:r>
        <w:t xml:space="preserve"> </w:t>
      </w:r>
      <w:r>
        <w:t xml:space="preserve">разреженную идентификацию нелинейной динамики, которая восстанавливает явные уравнения</w:t>
      </w:r>
      <w:r>
        <w:t xml:space="preserve"> </w:t>
      </w:r>
      <w:r>
        <w:t xml:space="preserve">движения как разреженную комбинацию базисных функций</w:t>
      </w:r>
      <w:r>
        <w:t xml:space="preserve"> </w:t>
      </w:r>
      <w:r>
        <w:t xml:space="preserve">(Brunton и др. 2016 г.a, 2016 г.b; Kaiser и др. 2018 г.)</w:t>
      </w:r>
      <w:r>
        <w:t xml:space="preserve">. В отличие от нейросетевых</w:t>
      </w:r>
      <w:r>
        <w:t xml:space="preserve"> </w:t>
      </w:r>
      <w:r>
        <w:t xml:space="preserve">суррогатов, модель SINDy — «белый ящик»: её уравнения можно прочитать, проверить на</w:t>
      </w:r>
      <w:r>
        <w:t xml:space="preserve"> </w:t>
      </w:r>
      <w:r>
        <w:t xml:space="preserve">физическую и размерную согласованность и аналитически встроить в решатель МПУ. Для агронома</w:t>
      </w:r>
      <w:r>
        <w:t xml:space="preserve"> </w:t>
      </w:r>
      <w:r>
        <w:t xml:space="preserve">или сертифицирующего органа такая интерпретируемость — не роскошь, а практическое требование</w:t>
      </w:r>
      <w:r>
        <w:t xml:space="preserve"> </w:t>
      </w:r>
      <w:r>
        <w:t xml:space="preserve">доверия и отладки.</w:t>
      </w:r>
    </w:p>
    <w:p>
      <w:pPr>
        <w:pStyle w:val="BodyText"/>
      </w:pPr>
      <w:r>
        <w:t xml:space="preserve">Центральный вопрос состоит в том, платят ли за интерпретируемость качеством: занимает ли</w:t>
      </w:r>
      <w:r>
        <w:t xml:space="preserve"> </w:t>
      </w:r>
      <w:r>
        <w:t xml:space="preserve">интерпретируемое SINDy-MPC недоминируемую (парето-конкурентоспособную) позицию относительно</w:t>
      </w:r>
      <w:r>
        <w:t xml:space="preserve"> </w:t>
      </w:r>
      <w:r>
        <w:t xml:space="preserve">«чёрных ящиков» или несёт измеримую «цену прозрачности». Честный ответ затрудняют три</w:t>
      </w:r>
      <w:r>
        <w:t xml:space="preserve"> </w:t>
      </w:r>
      <w:r>
        <w:t xml:space="preserve">систематических изъяна самой процедуры сравнения, распространённые в литературе по управлению</w:t>
      </w:r>
      <w:r>
        <w:t xml:space="preserve"> </w:t>
      </w:r>
      <w:r>
        <w:t xml:space="preserve">теплицами и по управлению из данных. Обученные регуляторы нередко сопоставляют с заведомо</w:t>
      </w:r>
      <w:r>
        <w:t xml:space="preserve"> </w:t>
      </w:r>
      <w:r>
        <w:t xml:space="preserve">слабой эвристикой, тогда как хорошо настроенные агрономические правила оказываются сильным</w:t>
      </w:r>
      <w:r>
        <w:t xml:space="preserve"> </w:t>
      </w:r>
      <w:r>
        <w:t xml:space="preserve">конкурентом; в качестве метрики берут ошибку слежения за уставкой вместо экономической</w:t>
      </w:r>
      <w:r>
        <w:t xml:space="preserve"> </w:t>
      </w:r>
      <w:r>
        <w:t xml:space="preserve">прибыли, хотя эти величины не связаны монотонно; наконец — и это наименее очевидно —</w:t>
      </w:r>
      <w:r>
        <w:t xml:space="preserve"> </w:t>
      </w:r>
      <w:r>
        <w:t xml:space="preserve">гиперпараметры суррогата выбирают по точности прогноза в разомкнутом контуре, молчаливо</w:t>
      </w:r>
      <w:r>
        <w:t xml:space="preserve"> </w:t>
      </w:r>
      <w:r>
        <w:t xml:space="preserve">полагая, что более точная модель даёт лучшее управление. Именно против последнего допущения три</w:t>
      </w:r>
      <w:r>
        <w:t xml:space="preserve"> </w:t>
      </w:r>
      <w:r>
        <w:t xml:space="preserve">десятилетия предостерегает идентификация для целей управления</w:t>
      </w:r>
      <w:r>
        <w:t xml:space="preserve"> </w:t>
      </w:r>
      <w:r>
        <w:t xml:space="preserve">(Gevers 1993 г.; Van den Hof и Schrama 1995 г.)</w:t>
      </w:r>
      <w:r>
        <w:t xml:space="preserve">, и именно его для обученной динамики заново</w:t>
      </w:r>
      <w:r>
        <w:t xml:space="preserve"> </w:t>
      </w:r>
      <w:r>
        <w:t xml:space="preserve">установило «рассогласование целевых функций» (objective mismatch)</w:t>
      </w:r>
      <w:r>
        <w:t xml:space="preserve"> </w:t>
      </w:r>
      <w:r>
        <w:t xml:space="preserve">(Lambert и др. 2020 г.; Jackson и др. 2022 г.)</w:t>
      </w:r>
      <w:r>
        <w:t xml:space="preserve">.</w:t>
      </w:r>
    </w:p>
    <w:p>
      <w:pPr>
        <w:pStyle w:val="BodyText"/>
      </w:pPr>
      <w:r>
        <w:t xml:space="preserve">Все три изъяна устраняются проведением предварительно зарегистрированного вычислительного</w:t>
      </w:r>
      <w:r>
        <w:t xml:space="preserve"> </w:t>
      </w:r>
      <w:r>
        <w:t xml:space="preserve">экономического сопоставительного исследования. Первичной метрикой служит собственный</w:t>
      </w:r>
      <w:r>
        <w:t xml:space="preserve"> </w:t>
      </w:r>
      <w:r>
        <w:t xml:space="preserve">экономический показатель эффективности симулятора (EPI) — сезонная прибыль, считываемая</w:t>
      </w:r>
      <w:r>
        <w:t xml:space="preserve"> </w:t>
      </w:r>
      <w:r>
        <w:t xml:space="preserve">прямо из модели вознаграждения, а не косвенный показатель. Поскольку EPI не штрафует</w:t>
      </w:r>
      <w:r>
        <w:t xml:space="preserve"> </w:t>
      </w:r>
      <w:r>
        <w:t xml:space="preserve">нарушения ограничений, первичным сравнением является двухосевое доминирование по Парето (EPI</w:t>
      </w:r>
      <w:r>
        <w:t xml:space="preserve"> </w:t>
      </w:r>
      <w:r>
        <w:t xml:space="preserve">против нарушений). Эталоны включают настроенный регулятор на правилах и честно реализованные</w:t>
      </w:r>
      <w:r>
        <w:t xml:space="preserve"> </w:t>
      </w:r>
      <w:r>
        <w:t xml:space="preserve">регуляторы обучения с подкреплением при равном бюджете гиперпараметров. Рецепт идентификации</w:t>
      </w:r>
      <w:r>
        <w:t xml:space="preserve"> </w:t>
      </w:r>
      <w:r>
        <w:t xml:space="preserve">замораживается по разомкнутым метрикам и метрикам прозрачности</w:t>
      </w:r>
      <w:r>
        <w:t xml:space="preserve"> </w:t>
      </w:r>
      <w:r>
        <w:rPr>
          <w:i/>
          <w:iCs/>
        </w:rPr>
        <w:t xml:space="preserve">до</w:t>
      </w:r>
      <w:r>
        <w:t xml:space="preserve"> </w:t>
      </w:r>
      <w:r>
        <w:t xml:space="preserve">какой-либо оценки в</w:t>
      </w:r>
      <w:r>
        <w:t xml:space="preserve"> </w:t>
      </w:r>
      <w:r>
        <w:t xml:space="preserve">замкнутом контуре, следуя практике предварительной регистрации</w:t>
      </w:r>
      <w:r>
        <w:t xml:space="preserve"> </w:t>
      </w:r>
      <w:r>
        <w:t xml:space="preserve">(</w:t>
      </w:r>
      <w:r>
        <w:t xml:space="preserve">Pineau и др.</w:t>
      </w:r>
      <w:r>
        <w:t xml:space="preserve"> </w:t>
      </w:r>
      <w:r>
        <w:t xml:space="preserve">2021 г.)</w:t>
      </w:r>
      <w:r>
        <w:t xml:space="preserve">,</w:t>
      </w:r>
      <w:r>
        <w:t xml:space="preserve"> </w:t>
      </w:r>
      <w:r>
        <w:t xml:space="preserve">чтобы выбор рецепта не загрязнял честное сравнение. Оцениваются десять регуляторов на 20</w:t>
      </w:r>
      <w:r>
        <w:t xml:space="preserve"> </w:t>
      </w:r>
      <w:r>
        <w:t xml:space="preserve">повторах с парной непараметрической статистикой</w:t>
      </w:r>
      <w:r>
        <w:t xml:space="preserve"> </w:t>
      </w:r>
      <w:r>
        <w:t xml:space="preserve">(Wilcoxon 1945 г.; Holm 1979 г.; Efron и Tibshirani 1994 г.)</w:t>
      </w:r>
      <w:r>
        <w:t xml:space="preserve">.</w:t>
      </w:r>
    </w:p>
    <w:p>
      <w:pPr>
        <w:pStyle w:val="BodyText"/>
      </w:pPr>
      <w:r>
        <w:t xml:space="preserve">Предварительно зарегистрированная гипотеза — что SINDy-MPC недоминируемо при малой цене</w:t>
      </w:r>
      <w:r>
        <w:t xml:space="preserve"> </w:t>
      </w:r>
      <w:r>
        <w:t xml:space="preserve">прозрачности — не подтверждается. Ценность исследования, однако, не в отрицательном</w:t>
      </w:r>
      <w:r>
        <w:t xml:space="preserve"> </w:t>
      </w:r>
      <w:r>
        <w:t xml:space="preserve">результате, а в вскрытом механизме: сравнение с дополнительными регуляторами изолирует</w:t>
      </w:r>
      <w:r>
        <w:t xml:space="preserve"> </w:t>
      </w:r>
      <w:r>
        <w:t xml:space="preserve">причину недобора предрегистрированного интерпретируемого регулятора, и эта причина конкретна</w:t>
      </w:r>
      <w:r>
        <w:t xml:space="preserve"> </w:t>
      </w:r>
      <w:r>
        <w:t xml:space="preserve">и переносима на другие задачи.</w:t>
      </w:r>
    </w:p>
    <w:p>
      <w:pPr>
        <w:pStyle w:val="BodyText"/>
      </w:pPr>
      <w:r>
        <w:t xml:space="preserve">Основной методологический результат работы — установленный механизм. Порог разреженности</w:t>
      </w:r>
      <w:r>
        <w:t xml:space="preserve"> </w:t>
      </w:r>
      <w:r>
        <w:t xml:space="preserve">STLSQ удаляет из модели контроль-критичный член исполнительного механизма (котла), и</w:t>
      </w:r>
      <w:r>
        <w:t xml:space="preserve"> </w:t>
      </w:r>
      <w:r>
        <w:t xml:space="preserve">экономический показатель в замкнутом контуре причинно следует за наличием этого члена, тогда</w:t>
      </w:r>
      <w:r>
        <w:t xml:space="preserve"> </w:t>
      </w:r>
      <w:r>
        <w:t xml:space="preserve">как ошибка прогноза в разомкнутом контуре к его исчезновению почти нечувствительна. Как</w:t>
      </w:r>
      <w:r>
        <w:t xml:space="preserve"> </w:t>
      </w:r>
      <w:r>
        <w:t xml:space="preserve">следствие, процедура отбора рецепта, замороженная по разомкнутому контуру ради защиты от</w:t>
      </w:r>
      <w:r>
        <w:t xml:space="preserve"> </w:t>
      </w:r>
      <w:r>
        <w:t xml:space="preserve">цикличности вывода, систематически удостоверяет модель, катастрофичную для управления, — в</w:t>
      </w:r>
      <w:r>
        <w:t xml:space="preserve"> </w:t>
      </w:r>
      <w:r>
        <w:t xml:space="preserve">чём и состоит ловушка предрегистрации. Эти наблюдения опираются на честное экономическое</w:t>
      </w:r>
      <w:r>
        <w:t xml:space="preserve"> </w:t>
      </w:r>
      <w:r>
        <w:t xml:space="preserve">сопоставление на валидированной агрономической модели, где показатель EPI поэлементно поверен</w:t>
      </w:r>
      <w:r>
        <w:t xml:space="preserve"> </w:t>
      </w:r>
      <w:r>
        <w:t xml:space="preserve">против функции вознаграждения симулятора, эталон на правилах настроен, бюджет гиперпараметров</w:t>
      </w:r>
      <w:r>
        <w:t xml:space="preserve"> </w:t>
      </w:r>
      <w:r>
        <w:t xml:space="preserve">одинаков для всех методов, а выводы подкреплены парной статистикой на двадцати повторах, —</w:t>
      </w:r>
      <w:r>
        <w:t xml:space="preserve"> </w:t>
      </w:r>
      <w:r>
        <w:t xml:space="preserve">чего недоставало прежним тепличным сравнениям, ограниченным обучением с подкреплением</w:t>
      </w:r>
      <w:r>
        <w:t xml:space="preserve"> </w:t>
      </w:r>
      <w:r>
        <w:t xml:space="preserve">(Laatum и др. 2025 г.)</w:t>
      </w:r>
      <w:r>
        <w:t xml:space="preserve">. Наконец, работа переосмысливает саму ценность</w:t>
      </w:r>
      <w:r>
        <w:t xml:space="preserve"> </w:t>
      </w:r>
      <w:r>
        <w:t xml:space="preserve">интерпретируемости: она проявляется в прозрачности модели, в безопасности и в способности</w:t>
      </w:r>
      <w:r>
        <w:t xml:space="preserve"> </w:t>
      </w:r>
      <w:r>
        <w:t xml:space="preserve">распознавать выход за пределы обучающего распределения, а не в экономическом превосходстве, —</w:t>
      </w:r>
      <w:r>
        <w:t xml:space="preserve"> </w:t>
      </w:r>
      <w:r>
        <w:t xml:space="preserve">и экономность описания не следует смешивать с интерпретируемостью.</w:t>
      </w:r>
    </w:p>
    <w:bookmarkEnd w:id="9"/>
    <w:bookmarkStart w:id="10" w:name="sec:related"/>
    <w:p>
      <w:pPr>
        <w:pStyle w:val="Heading1"/>
      </w:pPr>
      <w:r>
        <w:t xml:space="preserve">Обзор литературы</w:t>
      </w:r>
    </w:p>
    <w:p>
      <w:pPr>
        <w:pStyle w:val="FirstParagraph"/>
      </w:pPr>
      <w:r>
        <w:t xml:space="preserve">Оптимальное и прогнозирующее управление климатом теплицы простирается от постановки</w:t>
      </w:r>
      <w:r>
        <w:t xml:space="preserve"> </w:t>
      </w:r>
      <w:r>
        <w:t xml:space="preserve">оптимального управления связанной системой «климат–растение» у ван Хентена</w:t>
      </w:r>
      <w:r>
        <w:t xml:space="preserve"> </w:t>
      </w:r>
      <w:r>
        <w:t xml:space="preserve">(Henten 1994 г.; Henten и Bontsema 2009 г.)</w:t>
      </w:r>
      <w:r>
        <w:t xml:space="preserve">, через современные реализации МПУ</w:t>
      </w:r>
      <w:r>
        <w:t xml:space="preserve"> </w:t>
      </w:r>
      <w:r>
        <w:t xml:space="preserve">(Lin и др. 2021 г.; Chen и You 2020 г.)</w:t>
      </w:r>
      <w:r>
        <w:t xml:space="preserve">, до стохастического оптимального управления при</w:t>
      </w:r>
      <w:r>
        <w:t xml:space="preserve"> </w:t>
      </w:r>
      <w:r>
        <w:t xml:space="preserve">погодной неопределённости</w:t>
      </w:r>
      <w:r>
        <w:t xml:space="preserve"> </w:t>
      </w:r>
      <w:r>
        <w:t xml:space="preserve">(Mourik и др. 2023 г.)</w:t>
      </w:r>
      <w:r>
        <w:t xml:space="preserve">. Обучение с подкреплением (ОП)</w:t>
      </w:r>
      <w:r>
        <w:t xml:space="preserve"> </w:t>
      </w:r>
      <w:r>
        <w:t xml:space="preserve">сравнивали с МПУ с неоднозначным экономическим итогом: ОП может повышать продукцию, но часто</w:t>
      </w:r>
      <w:r>
        <w:t xml:space="preserve"> </w:t>
      </w:r>
      <w:r>
        <w:t xml:space="preserve">при худшей рентабельности</w:t>
      </w:r>
      <w:r>
        <w:t xml:space="preserve"> </w:t>
      </w:r>
      <w:r>
        <w:t xml:space="preserve">(Morcego и др. 2023 г.; Mallick и др. 2024 г.;</w:t>
      </w:r>
      <w:r>
        <w:t xml:space="preserve"> </w:t>
      </w:r>
      <w:r>
        <w:t xml:space="preserve">2025 г.)</w:t>
      </w:r>
      <w:r>
        <w:t xml:space="preserve">.</w:t>
      </w:r>
      <w:r>
        <w:t xml:space="preserve"> </w:t>
      </w:r>
      <w:r>
        <w:t xml:space="preserve">Использованный здесь симулятор — GreenLight</w:t>
      </w:r>
      <w:r>
        <w:t xml:space="preserve"> </w:t>
      </w:r>
      <w:r>
        <w:t xml:space="preserve">(Katzin и др. 2020 г., 2021 г.)</w:t>
      </w:r>
      <w:r>
        <w:t xml:space="preserve">,</w:t>
      </w:r>
      <w:r>
        <w:t xml:space="preserve"> </w:t>
      </w:r>
      <w:r>
        <w:t xml:space="preserve">обёрнутый интерфейсом GreenLight-Gym</w:t>
      </w:r>
      <w:r>
        <w:t xml:space="preserve"> </w:t>
      </w:r>
      <w:r>
        <w:t xml:space="preserve">(Laatum и др. 2025 г.)</w:t>
      </w:r>
      <w:r>
        <w:t xml:space="preserve">. Однако это</w:t>
      </w:r>
      <w:r>
        <w:t xml:space="preserve"> </w:t>
      </w:r>
      <w:r>
        <w:rPr>
          <w:i/>
          <w:iCs/>
        </w:rPr>
        <w:t xml:space="preserve">среда</w:t>
      </w:r>
      <w:r>
        <w:t xml:space="preserve"> </w:t>
      </w:r>
      <w:r>
        <w:t xml:space="preserve">для ОП: она даёт быстрый дифференцируемый симулятор и сравнивает</w:t>
      </w:r>
      <w:r>
        <w:t xml:space="preserve"> </w:t>
      </w:r>
      <w:r>
        <w:t xml:space="preserve">алгоритмы ОП, но не проводит честного экономического сравнения регуляторов с настроенным</w:t>
      </w:r>
      <w:r>
        <w:t xml:space="preserve"> </w:t>
      </w:r>
      <w:r>
        <w:t xml:space="preserve">эталоном на правилах и не рассматривает ни интерпретируемые суррогаты на разреженной</w:t>
      </w:r>
      <w:r>
        <w:t xml:space="preserve"> </w:t>
      </w:r>
      <w:r>
        <w:t xml:space="preserve">идентификации, ни вопрос об отборе по разомкнутому либо замкнутому контуру. Настоящая работа</w:t>
      </w:r>
      <w:r>
        <w:t xml:space="preserve"> </w:t>
      </w:r>
      <w:r>
        <w:t xml:space="preserve">занимает этот пробел.</w:t>
      </w:r>
    </w:p>
    <w:p>
      <w:pPr>
        <w:pStyle w:val="BodyText"/>
      </w:pPr>
      <w:r>
        <w:t xml:space="preserve">SINDy восстанавливает экономные уравнения движения разреженной регрессией по библиотеке</w:t>
      </w:r>
      <w:r>
        <w:t xml:space="preserve"> </w:t>
      </w:r>
      <w:r>
        <w:t xml:space="preserve">базисных функций</w:t>
      </w:r>
      <w:r>
        <w:t xml:space="preserve"> </w:t>
      </w:r>
      <w:r>
        <w:t xml:space="preserve">(Brunton и др. 2016 г.a)</w:t>
      </w:r>
      <w:r>
        <w:t xml:space="preserve">, обобщается на объекты с управлением</w:t>
      </w:r>
      <w:r>
        <w:t xml:space="preserve"> </w:t>
      </w:r>
      <w:r>
        <w:t xml:space="preserve">(Brunton и др. 2016 г.b)</w:t>
      </w:r>
      <w:r>
        <w:t xml:space="preserve"> </w:t>
      </w:r>
      <w:r>
        <w:t xml:space="preserve">и естественно сочетается с МПУ в условиях дефицита данных</w:t>
      </w:r>
      <w:r>
        <w:t xml:space="preserve"> </w:t>
      </w:r>
      <w:r>
        <w:t xml:space="preserve">(Kaiser и др. 2018 г.)</w:t>
      </w:r>
      <w:r>
        <w:t xml:space="preserve">. Устойчивость повышают ансамблированием</w:t>
      </w:r>
      <w:r>
        <w:t xml:space="preserve"> </w:t>
      </w:r>
      <w:r>
        <w:t xml:space="preserve">(Fasel и др. 2022 г.)</w:t>
      </w:r>
      <w:r>
        <w:t xml:space="preserve">,</w:t>
      </w:r>
      <w:r>
        <w:t xml:space="preserve"> </w:t>
      </w:r>
      <w:r>
        <w:t xml:space="preserve">релаксированной и ограниченной оптимизацией</w:t>
      </w:r>
      <w:r>
        <w:t xml:space="preserve"> </w:t>
      </w:r>
      <w:r>
        <w:t xml:space="preserve">(Champion и др. 2020 г.)</w:t>
      </w:r>
      <w:r>
        <w:t xml:space="preserve"> </w:t>
      </w:r>
      <w:r>
        <w:t xml:space="preserve">и зрелым инструментарием</w:t>
      </w:r>
      <w:r>
        <w:t xml:space="preserve"> </w:t>
      </w:r>
      <w:r>
        <w:t xml:space="preserve">(Silva и др. 2020 г.; Kaptanoglu и др. 2022 г.)</w:t>
      </w:r>
      <w:r>
        <w:t xml:space="preserve">. Базовый метод последовательного порогового</w:t>
      </w:r>
      <w:r>
        <w:t xml:space="preserve"> </w:t>
      </w:r>
      <w:r>
        <w:t xml:space="preserve">наименьших квадратов (STLSQ), однако, чувствителен к порогу разреженности: слишком большой</w:t>
      </w:r>
      <w:r>
        <w:t xml:space="preserve"> </w:t>
      </w:r>
      <w:r>
        <w:t xml:space="preserve">порог удаляет физически важные члены с малыми коэффициентами, ухудшая динамику</w:t>
      </w:r>
      <w:r>
        <w:t xml:space="preserve"> </w:t>
      </w:r>
      <w:r>
        <w:t xml:space="preserve">(Cortiella и др. 2021 г.; Mangan и др. 2017 г.)</w:t>
      </w:r>
      <w:r>
        <w:t xml:space="preserve">; на это прямо нацелены новейшие</w:t>
      </w:r>
      <w:r>
        <w:t xml:space="preserve"> </w:t>
      </w:r>
      <w:r>
        <w:t xml:space="preserve">оптимизаторы</w:t>
      </w:r>
      <w:r>
        <w:t xml:space="preserve"> </w:t>
      </w:r>
      <w:r>
        <w:t xml:space="preserve">(Dang и др. 2026 г.)</w:t>
      </w:r>
      <w:r>
        <w:t xml:space="preserve">. Прежние работы трактуют это как патологию</w:t>
      </w:r>
      <w:r>
        <w:t xml:space="preserve"> </w:t>
      </w:r>
      <w:r>
        <w:rPr>
          <w:i/>
          <w:iCs/>
        </w:rPr>
        <w:t xml:space="preserve">идентификации</w:t>
      </w:r>
      <w:r>
        <w:t xml:space="preserve"> </w:t>
      </w:r>
      <w:r>
        <w:t xml:space="preserve">и предлагают лучшие</w:t>
      </w:r>
      <w:r>
        <w:t xml:space="preserve"> </w:t>
      </w:r>
      <w:r>
        <w:rPr>
          <w:i/>
          <w:iCs/>
        </w:rPr>
        <w:t xml:space="preserve">оптимизаторы</w:t>
      </w:r>
      <w:r>
        <w:t xml:space="preserve">; здесь же её следствие</w:t>
      </w:r>
      <w:r>
        <w:t xml:space="preserve"> </w:t>
      </w:r>
      <w:r>
        <w:t xml:space="preserve">диагностируется внутри экономического контура МПУ, с установленной причинной связью с</w:t>
      </w:r>
      <w:r>
        <w:t xml:space="preserve"> </w:t>
      </w:r>
      <w:r>
        <w:t xml:space="preserve">прибылью, и показывается, что штатный протокол отбора по разомкнутому контуру прямо в неё</w:t>
      </w:r>
      <w:r>
        <w:t xml:space="preserve"> </w:t>
      </w:r>
      <w:r>
        <w:t xml:space="preserve">попадает.</w:t>
      </w:r>
    </w:p>
    <w:p>
      <w:pPr>
        <w:pStyle w:val="BodyText"/>
      </w:pPr>
      <w:r>
        <w:t xml:space="preserve">То, что точность прогноза в разомкнутом контуре — плохой косвенный показатель качества</w:t>
      </w:r>
      <w:r>
        <w:t xml:space="preserve"> </w:t>
      </w:r>
      <w:r>
        <w:t xml:space="preserve">управления в замкнутом, является фундаментальным положением идентификации для целей</w:t>
      </w:r>
      <w:r>
        <w:t xml:space="preserve"> </w:t>
      </w:r>
      <w:r>
        <w:t xml:space="preserve">управления: арбитром качества модели служит контур, а не подгонка</w:t>
      </w:r>
      <w:r>
        <w:t xml:space="preserve"> </w:t>
      </w:r>
      <w:r>
        <w:t xml:space="preserve">(Gevers 1993 г.; Hjalmarsson и др. 1994 г.; Van den Hof и Schrama 1995 г.; Hjalmarsson 2005 г.)</w:t>
      </w:r>
      <w:r>
        <w:t xml:space="preserve">.</w:t>
      </w:r>
      <w:r>
        <w:t xml:space="preserve"> </w:t>
      </w:r>
      <w:r>
        <w:t xml:space="preserve">Для обученной динамики это же явление заострили как «рассогласование целевых функций»:</w:t>
      </w:r>
      <w:r>
        <w:t xml:space="preserve"> </w:t>
      </w:r>
      <w:r>
        <w:t xml:space="preserve">правдоподобие одношагового прогноза не коррелирует с качеством управления</w:t>
      </w:r>
      <w:r>
        <w:t xml:space="preserve"> </w:t>
      </w:r>
      <w:r>
        <w:t xml:space="preserve">(Lambert и др. 2020 г.; Wei и др. 2023 г.)</w:t>
      </w:r>
      <w:r>
        <w:t xml:space="preserve">, — с сопутствующими средствами в отборе,</w:t>
      </w:r>
      <w:r>
        <w:t xml:space="preserve"> </w:t>
      </w:r>
      <w:r>
        <w:t xml:space="preserve">ориентированном на ценность и на управление</w:t>
      </w:r>
      <w:r>
        <w:t xml:space="preserve"> </w:t>
      </w:r>
      <w:r>
        <w:t xml:space="preserve">(Farahmand и др. 2017 г.; Sivaranjani и др. 2025 г.)</w:t>
      </w:r>
      <w:r>
        <w:t xml:space="preserve">. Вклад настоящей работы — не общий</w:t>
      </w:r>
      <w:r>
        <w:t xml:space="preserve"> </w:t>
      </w:r>
      <w:r>
        <w:t xml:space="preserve">принцип и не новое средство, а его конкретный, интерпретируемый и причинно проверенный</w:t>
      </w:r>
      <w:r>
        <w:t xml:space="preserve"> </w:t>
      </w:r>
      <w:r>
        <w:t xml:space="preserve">пример: поскольку суррогат является «белым ящиком», провал читается почленно (единственный</w:t>
      </w:r>
      <w:r>
        <w:t xml:space="preserve"> </w:t>
      </w:r>
      <w:r>
        <w:t xml:space="preserve">удалённый исполнительный механизм), а не диагностируется перевзвешиванием «чёрного ящика».</w:t>
      </w:r>
      <w:r>
        <w:t xml:space="preserve"> </w:t>
      </w:r>
      <w:r>
        <w:t xml:space="preserve">Для восстановления члена применяется итеративная агрегация наборов данных (DAgger)</w:t>
      </w:r>
      <w:r>
        <w:t xml:space="preserve"> </w:t>
      </w:r>
      <w:r>
        <w:t xml:space="preserve">(Ross и др. 2011 г.)</w:t>
      </w:r>
      <w:r>
        <w:t xml:space="preserve"> </w:t>
      </w:r>
      <w:r>
        <w:t xml:space="preserve">— устоявшийся мост между экспертом-МПУ и обучаемой моделью</w:t>
      </w:r>
      <w:r>
        <w:t xml:space="preserve"> </w:t>
      </w:r>
      <w:r>
        <w:t xml:space="preserve">(Sun и др. 2017 г.; Tagliabue и др. 2021 г.; Espin и др. 2024 г.)</w:t>
      </w:r>
      <w:r>
        <w:t xml:space="preserve">.</w:t>
      </w:r>
    </w:p>
    <w:bookmarkEnd w:id="10"/>
    <w:bookmarkStart w:id="11" w:name="sec:methods"/>
    <w:p>
      <w:pPr>
        <w:pStyle w:val="Heading1"/>
      </w:pPr>
      <w:r>
        <w:t xml:space="preserve">Методы</w:t>
      </w:r>
    </w:p>
    <w:p>
      <w:pPr>
        <w:pStyle w:val="FirstParagraph"/>
      </w:pPr>
      <w:r>
        <w:rPr>
          <w:b/>
          <w:bCs/>
        </w:rPr>
        <w:t xml:space="preserve">Первичная метрика.</w:t>
      </w:r>
      <w:r>
        <w:t xml:space="preserve"> Все регуляторы оцениваются по собственной экономике симулятора, а</w:t>
      </w:r>
      <w:r>
        <w:t xml:space="preserve"> </w:t>
      </w:r>
      <w:r>
        <w:t xml:space="preserve">не по косвенному показателю. На каждом шаге модель вознаграждения GreenLight возвращает</w:t>
      </w:r>
      <w:r>
        <w:t xml:space="preserve"> </w:t>
      </w:r>
      <w:r>
        <w:t xml:space="preserve">прибыль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где выигрыш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nor/>
                <m:sty m:val="p"/>
              </m:rPr>
              <m:t>fruit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nor/>
                <m:sty m:val="p"/>
              </m:rPr>
              <m:t>fruit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dmfm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fruit</m:t>
            </m:r>
          </m:sub>
        </m:sSub>
      </m:oMath>
      <w:r>
        <w:t xml:space="preserve"> </w:t>
      </w:r>
      <w:r>
        <w:t xml:space="preserve">— выручка от прироста</w:t>
      </w:r>
      <w:r>
        <w:t xml:space="preserve"> </w:t>
      </w:r>
      <w:r>
        <w:t xml:space="preserve">сухой массы плода (переводимой в сырую массу через коэффициент</w:t>
      </w:r>
      <w:r>
        <w:t xml:space="preserve"> </w:t>
      </w:r>
      <m:oMath>
        <m:r>
          <m:rPr>
            <m:nor/>
            <m:sty m:val="p"/>
          </m:rPr>
          <m:t>dmfm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065</m:t>
        </m:r>
      </m:oMath>
      <w:r>
        <w:t xml:space="preserve"> </w:t>
      </w:r>
      <w:r>
        <w:t xml:space="preserve">и</w:t>
      </w:r>
      <w:r>
        <w:t xml:space="preserve"> </w:t>
      </w:r>
      <w:r>
        <w:t xml:space="preserve">оцениваемой по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fruit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6</m:t>
        </m:r>
        <m:r>
          <m:t> </m:t>
        </m:r>
        <m:r>
          <m:rPr>
            <m:nor/>
            <m:sty m:val="p"/>
          </m:rPr>
          <m:t>EUR/кг</m:t>
        </m:r>
      </m:oMath>
      <w:r>
        <w:t xml:space="preserve">), а переменные затраты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суммируют</w:t>
      </w:r>
      <w:r>
        <w:t xml:space="preserve"> </w:t>
      </w:r>
      <w:r>
        <w:t xml:space="preserve">нагрев, досветку и подкормку CO</w:t>
      </w:r>
      <w:r>
        <w:rPr>
          <w:vertAlign w:val="subscript"/>
        </w:rPr>
        <w:t xml:space="preserve">2</w:t>
      </w:r>
      <w:r>
        <w:t xml:space="preserve"> </w:t>
      </w:r>
      <w:r>
        <w:t xml:space="preserve">по ценам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09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30</m:t>
        </m:r>
        <m:r>
          <m:t> </m:t>
        </m:r>
        <m:r>
          <m:rPr>
            <m:nor/>
            <m:sty m:val="p"/>
          </m:rPr>
          <m:t>EUR</m:t>
        </m:r>
      </m:oMath>
      <w:r>
        <w:t xml:space="preserve"> </w:t>
      </w:r>
      <w:r>
        <w:t xml:space="preserve">за кВт·ч, кВт·ч и кг соответственно. Сезонный показатель —</w:t>
      </w:r>
      <w:r>
        <w:t xml:space="preserve"> </w:t>
      </w:r>
      <m:oMath>
        <m:r>
          <m:rPr>
            <m:nor/>
            <m:sty m:val="p"/>
          </m:rPr>
          <m:t>EPI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EUR/м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. Поэлементно поверено, что пошаговая экономика,</w:t>
      </w:r>
      <w:r>
        <w:t xml:space="preserve"> </w:t>
      </w:r>
      <w:r>
        <w:t xml:space="preserve">используемая каждым регулятором (и оракулом, см. ниже), тождественна функции вознаграждения</w:t>
      </w:r>
      <w:r>
        <w:t xml:space="preserve"> </w:t>
      </w:r>
      <w:r>
        <w:t xml:space="preserve">симулятора, так что EPI — истинная целевая величина, а не приближение. Поскольку EPI не</w:t>
      </w:r>
      <w:r>
        <w:t xml:space="preserve"> </w:t>
      </w:r>
      <w:r>
        <w:t xml:space="preserve">включает штрафы за нарушения и регулятор может повышать его, чаще выходя за продуктивные</w:t>
      </w:r>
      <w:r>
        <w:t xml:space="preserve"> </w:t>
      </w:r>
      <w:r>
        <w:t xml:space="preserve">коридоры (CO</w:t>
      </w:r>
      <w:r>
        <w:rPr>
          <w:vertAlign w:val="subscript"/>
        </w:rPr>
        <w:t xml:space="preserve">2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300</m:t>
        </m:r>
        <m:r>
          <m:rPr>
            <m:sty m:val="p"/>
          </m:rPr>
          <m:t>,</m:t>
        </m:r>
        <m:r>
          <m:t>1600</m:t>
        </m:r>
        <m:r>
          <m:rPr>
            <m:sty m:val="p"/>
          </m:rPr>
          <m:t>]</m:t>
        </m:r>
      </m:oMath>
      <w:r>
        <w:t xml:space="preserve"> ppm,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15</m:t>
        </m:r>
        <m:r>
          <m:rPr>
            <m:sty m:val="p"/>
          </m:rPr>
          <m:t>,</m:t>
        </m:r>
        <m:r>
          <m:t>34</m:t>
        </m:r>
        <m:r>
          <m:rPr>
            <m:sty m:val="p"/>
          </m:rPr>
          <m:t>]</m:t>
        </m:r>
      </m:oMath>
      <w:r>
        <w:t xml:space="preserve"> °C, RH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50</m:t>
        </m:r>
        <m:r>
          <m:rPr>
            <m:sty m:val="p"/>
          </m:rPr>
          <m:t>,</m:t>
        </m:r>
        <m:r>
          <m:t>85</m:t>
        </m:r>
        <m:r>
          <m:rPr>
            <m:sty m:val="p"/>
          </m:rPr>
          <m:t>]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первичным сравнением служит двухосевой критерий Парето — EPI против сезонного числа шагов с</w:t>
      </w:r>
      <w:r>
        <w:t xml:space="preserve"> </w:t>
      </w:r>
      <w:r>
        <w:t xml:space="preserve">нарушениями — с указанием недоминируемого фронта (рис. </w:t>
      </w:r>
      <w:hyperlink w:anchor="fig:pareto">
        <w:r>
          <w:rPr>
            <w:rStyle w:val="Hyperlink"/>
          </w:rPr>
          <w:t xml:space="preserve">1</w:t>
        </w:r>
      </w:hyperlink>
      <w:r>
        <w:t xml:space="preserve">). Вторичным</w:t>
      </w:r>
      <w:r>
        <w:t xml:space="preserve"> </w:t>
      </w:r>
      <w:r>
        <w:t xml:space="preserve">размерно-согласованным скаляром тяжести служит</w:t>
      </w:r>
      <w:r>
        <w:t xml:space="preserve"> </w:t>
      </w:r>
      <w:r>
        <w:rPr>
          <w:rStyle w:val="VerbatimChar"/>
        </w:rPr>
        <w:t xml:space="preserve">scaled_pen</w:t>
      </w:r>
      <w:r>
        <w:t xml:space="preserve"> </w:t>
      </w:r>
      <w:r>
        <w:t xml:space="preserve">— площадь нарушения по</w:t>
      </w:r>
      <w:r>
        <w:t xml:space="preserve"> </w:t>
      </w:r>
      <w:r>
        <w:t xml:space="preserve">каждому ограничению, нормированная по шкале самого симулятора. Единый «EPI со штрафом в евро»</w:t>
      </w:r>
      <w:r>
        <w:t xml:space="preserve"> </w:t>
      </w:r>
      <w:r>
        <w:t xml:space="preserve">не вводится, поскольку симулятор не оценивает нарушения в деньгах.</w:t>
      </w:r>
    </w:p>
    <w:p>
      <w:pPr>
        <w:pStyle w:val="BodyText"/>
      </w:pPr>
      <w:r>
        <w:rPr>
          <w:b/>
          <w:bCs/>
        </w:rPr>
        <w:t xml:space="preserve">Симулятор, локация и данные.</w:t>
      </w:r>
      <w:r>
        <w:t xml:space="preserve"> Эксперименты используют модель томатной теплицы</w:t>
      </w:r>
      <w:r>
        <w:t xml:space="preserve"> </w:t>
      </w:r>
      <w:r>
        <w:t xml:space="preserve">GreenLight</w:t>
      </w:r>
      <w:r>
        <w:t xml:space="preserve"> </w:t>
      </w:r>
      <w:r>
        <w:t xml:space="preserve">(Katzin и др. 2020 г.)</w:t>
      </w:r>
      <w:r>
        <w:t xml:space="preserve"> </w:t>
      </w:r>
      <w:r>
        <w:t xml:space="preserve">через интерфейс GreenLight-Gym</w:t>
      </w:r>
      <w:r>
        <w:t xml:space="preserve"> </w:t>
      </w:r>
      <w:r>
        <w:t xml:space="preserve">(Laatum и др. 2025 г.)</w:t>
      </w:r>
      <w:r>
        <w:t xml:space="preserve">. Локация — Ростов-на-Дону (</w:t>
      </w:r>
      <m:oMath>
        <m:r>
          <m:t>47</m:t>
        </m:r>
        <m:r>
          <m:rPr>
            <m:sty m:val="p"/>
          </m:rPr>
          <m:t>,</m:t>
        </m:r>
        <m:sSup>
          <m:e>
            <m:r>
              <m:t>24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с. ш.,</w:t>
      </w:r>
      <w:r>
        <w:t xml:space="preserve"> </w:t>
      </w:r>
      <m:oMath>
        <m:r>
          <m:t>39</m:t>
        </m:r>
        <m:r>
          <m:rPr>
            <m:sty m:val="p"/>
          </m:rPr>
          <m:t>,</m:t>
        </m:r>
        <m:sSup>
          <m:e>
            <m:r>
              <m:t>71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в. д.); реальная погода за 2018–2023 гг. взята из ERA5/ERA5-Land через</w:t>
      </w:r>
      <w:r>
        <w:t xml:space="preserve"> </w:t>
      </w:r>
      <w:r>
        <w:t xml:space="preserve">Open-Meteo, с производными членами (температура неба, почвы). Сезон — 60 суток с началом</w:t>
      </w:r>
      <w:r>
        <w:t xml:space="preserve"> </w:t>
      </w:r>
      <w:r>
        <w:t xml:space="preserve">1 марта, шаг управления 15 минут. Применяется разбиение по годам без утечки: обучение на</w:t>
      </w:r>
      <w:r>
        <w:t xml:space="preserve"> </w:t>
      </w:r>
      <w:r>
        <w:t xml:space="preserve">2018–2019, тест в пределах обучающего распределения на 2020, а 2021–2023 отложены как выход</w:t>
      </w:r>
      <w:r>
        <w:t xml:space="preserve"> </w:t>
      </w:r>
      <w:r>
        <w:t xml:space="preserve">за пределы распределения (OOD). Данные для идентификации собираются регулятором на правилах с</w:t>
      </w:r>
      <w:r>
        <w:t xml:space="preserve"> </w:t>
      </w:r>
      <w:r>
        <w:t xml:space="preserve">наложением псевдослучайного двоичного сигнала возбуждения (ПСДП, амплитуда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) на</w:t>
      </w:r>
      <w:r>
        <w:t xml:space="preserve"> </w:t>
      </w:r>
      <w:r>
        <w:t xml:space="preserve">исполнительные механизмы, при контроле числа обусловленности регрессии.</w:t>
      </w:r>
    </w:p>
    <w:p>
      <w:pPr>
        <w:pStyle w:val="BodyText"/>
      </w:pPr>
      <w:r>
        <w:rPr>
          <w:b/>
          <w:bCs/>
        </w:rPr>
        <w:t xml:space="preserve">Регуляторы.</w:t>
      </w:r>
      <w:r>
        <w:t xml:space="preserve"> Сравниваются десять регуляторов пяти семейств</w:t>
      </w:r>
      <w:r>
        <w:t xml:space="preserve"> </w:t>
      </w:r>
      <w:r>
        <w:t xml:space="preserve">(таблица </w:t>
      </w:r>
      <w:hyperlink w:anchor="tab:controllers">
        <w:r>
          <w:rPr>
            <w:rStyle w:val="Hyperlink"/>
          </w:rPr>
          <w:t xml:space="preserve">[tab:controllers]</w:t>
        </w:r>
      </w:hyperlink>
      <w:r>
        <w:t xml:space="preserve">): настроенный регулятор на правилах (агрономическая эвристика —</w:t>
      </w:r>
      <w:r>
        <w:t xml:space="preserve"> </w:t>
      </w:r>
      <w:r>
        <w:t xml:space="preserve">нижний эталон и эксперт для DAgger); предлагаемое SINDy-MPC в четырёх вариантах —</w:t>
      </w:r>
      <w:r>
        <w:t xml:space="preserve"> </w:t>
      </w:r>
      <w:r>
        <w:t xml:space="preserve">предрегистрированный подтверждающий рецепт, плотный рецепт с сохранением котла и их версии,</w:t>
      </w:r>
      <w:r>
        <w:t xml:space="preserve"> </w:t>
      </w:r>
      <w:r>
        <w:t xml:space="preserve">дообученные методом DAgger; редуцированное первопринципное МПУ «серого ящика» на том же</w:t>
      </w:r>
      <w:r>
        <w:t xml:space="preserve"> </w:t>
      </w:r>
      <w:r>
        <w:t xml:space="preserve">решателе; нейросетевое МПУ (NN-MPC, суррогат</w:t>
      </w:r>
      <w: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t xml:space="preserve">); две стратегии обучения с</w:t>
      </w:r>
      <w:r>
        <w:t xml:space="preserve"> </w:t>
      </w:r>
      <w:r>
        <w:t xml:space="preserve">подкреплением, PPO</w:t>
      </w:r>
      <w:r>
        <w:t xml:space="preserve"> </w:t>
      </w:r>
      <w:r>
        <w:t xml:space="preserve">(Schulman и др. 2017 г.)</w:t>
      </w:r>
      <w:r>
        <w:t xml:space="preserve"> </w:t>
      </w:r>
      <w:r>
        <w:t xml:space="preserve">и SAC</w:t>
      </w:r>
      <w:r>
        <w:t xml:space="preserve"> </w:t>
      </w:r>
      <w:r>
        <w:t xml:space="preserve">(Haarnoja и др. 2018 г.)</w:t>
      </w:r>
      <w:r>
        <w:t xml:space="preserve">, через</w:t>
      </w:r>
      <w:r>
        <w:t xml:space="preserve"> </w:t>
      </w:r>
      <w:r>
        <w:t xml:space="preserve">Stable-Baselines3</w:t>
      </w:r>
      <w:r>
        <w:t xml:space="preserve"> </w:t>
      </w:r>
      <w:r>
        <w:t xml:space="preserve">(Raffin и др. 2021 г.)</w:t>
      </w:r>
      <w:r>
        <w:t xml:space="preserve">; и оракул-МПУ, планирующий по истинной динамике</w:t>
      </w:r>
      <w:r>
        <w:t xml:space="preserve"> </w:t>
      </w:r>
      <w:r>
        <w:t xml:space="preserve">симулятора. Все обучаемые регуляторы получают равный бюджет гиперпараметров (16 попыток). ОП</w:t>
      </w:r>
      <w:r>
        <w:t xml:space="preserve"> </w:t>
      </w:r>
      <w:r>
        <w:t xml:space="preserve">обучается на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шагов среды с нормировкой наблюдений и вознаграждения</w:t>
      </w:r>
      <w:r>
        <w:t xml:space="preserve"> </w:t>
      </w:r>
      <w:r>
        <w:t xml:space="preserve">(VecNormalize), пропуск которой сильно искажает результат ОП.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Регулятор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Проверяемое альтернативное объяснение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по данным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правилах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настроенная эвристика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наличие сильной простой цели (и эксперт DAgger)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— EPI 4,63, планка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МПУ «серого ящика»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редуцированная физика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слабость самих МПУ и библиотеки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— 3,79 работает; причина в пороге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SINDy-MPC (подтверждающий)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предлагаемый, предрег.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исследуемый 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провал: 1,18 (котёл выпал)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SINDy-MPC (плотный/+DAgger)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предлагаемый, починенный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устранимость дефекта без потери интерпретируемости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— 3,8–5,2, всё ещё «белый ящик»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Оракул (3 ч, CEM)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МПУ по истинной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недостаток точности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— 1,99, перерасход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NN-MPC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«чёрный ящик»-суррогат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преимущество «чёрного ящика»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—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09</m:t>
              </m:r>
            </m:oMath>
            <w:r>
              <w:t xml:space="preserve">, худший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PPO / SAC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«чёрный ящик»-ОП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интерпретируемость как узкое 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— оба ниже эвристики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Конвейер и предварительная регистрация.</w:t>
      </w:r>
      <w:r>
        <w:t xml:space="preserve"> Предлагаемый метод проходит четыре стадии.</w:t>
      </w:r>
      <w:r>
        <w:t xml:space="preserve"> </w:t>
      </w:r>
      <w:r>
        <w:t xml:space="preserve">Сначала регулятор на правилах с наложенным ПСДП собирает данные; затем разреженная регрессия</w:t>
      </w:r>
      <w:r>
        <w:t xml:space="preserve"> </w:t>
      </w:r>
      <w:r>
        <w:t xml:space="preserve">восстанавливает интерпретируемое дискретное одношаговое отображение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Ξ</m:t>
        </m:r>
        <m:r>
          <m:t> 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степени 1, пригодной для аналитического встраивания в МПУ;</w:t>
      </w:r>
      <w:r>
        <w:t xml:space="preserve"> </w:t>
      </w:r>
      <w:r>
        <w:t xml:space="preserve">полученный суррогат встраивается в решатель CasADi/do-mpc, который оптимизирует согласованную с</w:t>
      </w:r>
      <w:r>
        <w:t xml:space="preserve"> </w:t>
      </w:r>
      <w:r>
        <w:t xml:space="preserve">EPI цель при климатических ограничениях на конечном горизонте; при необходимости добавляется</w:t>
      </w:r>
      <w:r>
        <w:t xml:space="preserve"> </w:t>
      </w:r>
      <w:r>
        <w:t xml:space="preserve">онлайн-адаптация (DAgger или EKF-SINDy) с монитором OOD и безопасным откатом. Рецепт идентификации (сглаживание, оптимизатор и</w:t>
      </w:r>
      <w:r>
        <w:t xml:space="preserve"> </w:t>
      </w:r>
      <w:r>
        <w:t xml:space="preserve">библиотека) не задаётся заранее: он выбирается в абляции (E2) и затем замораживается по</w:t>
      </w:r>
      <w:r>
        <w:t xml:space="preserve"> </w:t>
      </w:r>
      <w:r>
        <w:t xml:space="preserve">разомкнутым метрикам идентификации (устойчивость многошагового прогноза, встраиваемость в МПУ,</w:t>
      </w:r>
      <w:r>
        <w:t xml:space="preserve"> </w:t>
      </w:r>
      <w:r>
        <w:t xml:space="preserve">прозрачность)</w:t>
      </w:r>
      <w:r>
        <w:t xml:space="preserve"> </w:t>
      </w:r>
      <w:r>
        <w:rPr>
          <w:i/>
          <w:iCs/>
        </w:rPr>
        <w:t xml:space="preserve">до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независимо</w:t>
      </w:r>
      <w:r>
        <w:t xml:space="preserve"> </w:t>
      </w:r>
      <w:r>
        <w:t xml:space="preserve">от какого-либо EPI в замкнутом контуре на</w:t>
      </w:r>
      <w:r>
        <w:t xml:space="preserve"> </w:t>
      </w:r>
      <w:r>
        <w:t xml:space="preserve">отложенном тестовом сезоне; такая предрегистрация защищает от цикличности вывода. Замороженный</w:t>
      </w:r>
      <w:r>
        <w:t xml:space="preserve"> </w:t>
      </w:r>
      <w:r>
        <w:t xml:space="preserve">подтверждающий рецепт использует библиотеку</w:t>
      </w:r>
      <w:r>
        <w:t xml:space="preserve"> </w:t>
      </w:r>
      <w:r>
        <w:rPr>
          <w:rStyle w:val="VerbatimChar"/>
        </w:rPr>
        <w:t xml:space="preserve">physics_no_cross</w:t>
      </w:r>
      <w:r>
        <w:t xml:space="preserve">, степень 1 и</w:t>
      </w:r>
      <w:r>
        <w:t xml:space="preserve"> </w:t>
      </w:r>
      <w:r>
        <w:t xml:space="preserve">ансамблевый оптимизатор; выбранный по замкнутому контуру разведочный рецепт хранится отдельно</w:t>
      </w:r>
      <w:r>
        <w:t xml:space="preserve"> </w:t>
      </w:r>
      <w:r>
        <w:t xml:space="preserve">и приводится лишь как апостериорная чувствительность. Идентичный замороженный рецепт</w:t>
      </w:r>
      <w:r>
        <w:t xml:space="preserve"> </w:t>
      </w:r>
      <w:r>
        <w:t xml:space="preserve">загружается каждым последующим экспериментом из единого источника истины.</w:t>
      </w:r>
    </w:p>
    <w:p>
      <w:pPr>
        <w:pStyle w:val="BodyText"/>
      </w:pPr>
      <w:r>
        <w:rPr>
          <w:b/>
          <w:bCs/>
        </w:rPr>
        <w:t xml:space="preserve">Критерии допуска и статистика.</w:t>
      </w:r>
      <w:r>
        <w:t xml:space="preserve"> Модель допускается к сравнению, только если проходит</w:t>
      </w:r>
      <w:r>
        <w:t xml:space="preserve"> </w:t>
      </w:r>
      <w:r>
        <w:t xml:space="preserve">критерий прозрачности (явные уравнения «белого ящика», доля пройденных проверок знаков и</w:t>
      </w:r>
      <w:r>
        <w:t xml:space="preserve"> </w:t>
      </w:r>
      <w:r>
        <w:t xml:space="preserve">размерностей выше порога, структурная устойчивость набора активных членов при бутстрепе) и</w:t>
      </w:r>
      <w:r>
        <w:t xml:space="preserve"> </w:t>
      </w:r>
      <w:r>
        <w:t xml:space="preserve">критерий встраиваемости в МПУ. Оба критерия намеренно разомкнутые; их последствия</w:t>
      </w:r>
      <w:r>
        <w:t xml:space="preserve"> </w:t>
      </w:r>
      <w:r>
        <w:t xml:space="preserve">рассматриваются ниже. Источником дисперсии служит пересбор обучающих данных на каждом повторе:</w:t>
      </w:r>
      <w:r>
        <w:t xml:space="preserve"> </w:t>
      </w:r>
      <w:r>
        <w:t xml:space="preserve">каждый повтор заново собирает набор для идентификации и переобучает суррогат, так что модели</w:t>
      </w:r>
      <w:r>
        <w:t xml:space="preserve"> </w:t>
      </w:r>
      <w:r>
        <w:t xml:space="preserve">на разных повторах действительно различаются. Используются 20 повторов для всех регуляторов;</w:t>
      </w:r>
      <w:r>
        <w:t xml:space="preserve"> </w:t>
      </w:r>
      <w:r>
        <w:t xml:space="preserve">SAC сошёлся лишь на 10 из 20 и приводится по ним. Парные сравнения проводятся критерием</w:t>
      </w:r>
      <w:r>
        <w:t xml:space="preserve"> </w:t>
      </w:r>
      <w:r>
        <w:t xml:space="preserve">знаковых рангов Уилкоксона с попарностью по повтору</w:t>
      </w:r>
      <w:r>
        <w:t xml:space="preserve"> </w:t>
      </w:r>
      <w:r>
        <w:t xml:space="preserve">(Wilcoxon 1945 г.)</w:t>
      </w:r>
      <w:r>
        <w:t xml:space="preserve"> </w:t>
      </w:r>
      <w:r>
        <w:t xml:space="preserve">и поправкой Холма</w:t>
      </w:r>
      <w:r>
        <w:t xml:space="preserve"> </w:t>
      </w:r>
      <w:r>
        <w:t xml:space="preserve">(Holm 1979 г.)</w:t>
      </w:r>
      <w:r>
        <w:t xml:space="preserve">, с указанием размера эффекта (d Коэна) и доверительных интервалов бутстрепа</w:t>
      </w:r>
      <w:r>
        <w:t xml:space="preserve"> </w:t>
      </w:r>
      <w:r>
        <w:t xml:space="preserve">(Efron и Tibshirani 1994 г.; Demšar 2006 г.)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Оракул.</w:t>
      </w:r>
      <w:r>
        <w:t xml:space="preserve"> Оракул — регулятор на скользящем горизонте по методу кросс-энтропии (CEM),</w:t>
      </w:r>
      <w:r>
        <w:t xml:space="preserve"> </w:t>
      </w:r>
      <w:r>
        <w:t xml:space="preserve">планирующий прямо по истинному интегратору симулятора (48 выборочных последовательностей</w:t>
      </w:r>
      <w:r>
        <w:t xml:space="preserve"> </w:t>
      </w:r>
      <w:r>
        <w:t xml:space="preserve">действий, горизонт 3 часа, две итерации уточнения, «тёплый старт» от действия правил), с той</w:t>
      </w:r>
      <w:r>
        <w:t xml:space="preserve"> </w:t>
      </w:r>
      <w:r>
        <w:t xml:space="preserve">же экономической целью, что и у МПУ. Разрыв между ним и суррогатным МПУ изолирует влияние</w:t>
      </w:r>
      <w:r>
        <w:t xml:space="preserve"> </w:t>
      </w:r>
      <w:r>
        <w:t xml:space="preserve">точности модели. Верхней границей сезонного EPI оракул при этом не является: короткий</w:t>
      </w:r>
      <w:r>
        <w:t xml:space="preserve"> </w:t>
      </w:r>
      <w:r>
        <w:t xml:space="preserve">скользящий горизонт жадно максимизирует краткосрочную прибыль, а выборочный оптимизатор</w:t>
      </w:r>
      <w:r>
        <w:t xml:space="preserve"> </w:t>
      </w:r>
      <w:r>
        <w:t xml:space="preserve">деградирует на длинных горизонтах, поэтому оракул трактуется как контроль точности модели, а</w:t>
      </w:r>
      <w:r>
        <w:t xml:space="preserve"> </w:t>
      </w:r>
      <w:r>
        <w:t xml:space="preserve">не как потолок.</w:t>
      </w:r>
    </w:p>
    <w:bookmarkEnd w:id="11"/>
    <w:bookmarkStart w:id="39" w:name="sec:results"/>
    <w:p>
      <w:pPr>
        <w:pStyle w:val="Heading1"/>
      </w:pPr>
      <w:r>
        <w:t xml:space="preserve">Результаты</w:t>
      </w:r>
    </w:p>
    <w:p>
      <w:pPr>
        <w:pStyle w:val="FirstParagraph"/>
      </w:pPr>
      <w:r>
        <w:t xml:space="preserve">Десять регуляторов подобраны так, чтобы изолировать причину недобора предрегистрированного</w:t>
      </w:r>
      <w:r>
        <w:t xml:space="preserve"> </w:t>
      </w:r>
      <w:r>
        <w:t xml:space="preserve">интерпретируемого регулятора, последовательно отвергая очевидные альтернативные объяснения</w:t>
      </w:r>
      <w:r>
        <w:t xml:space="preserve"> </w:t>
      </w:r>
      <w:r>
        <w:t xml:space="preserve">(слабый МПУ, недостаточная точность модели, преимущество «чёрного ящика»). Вердикты по</w:t>
      </w:r>
      <w:r>
        <w:t xml:space="preserve"> </w:t>
      </w:r>
      <w:r>
        <w:t xml:space="preserve">предрегистрированным гипотезам сведены в таблице </w:t>
      </w:r>
      <w:hyperlink w:anchor="tab:scorecard">
        <w:r>
          <w:rPr>
            <w:rStyle w:val="Hyperlink"/>
          </w:rPr>
          <w:t xml:space="preserve">1</w:t>
        </w:r>
      </w:hyperlink>
      <w:r>
        <w:t xml:space="preserve">.</w:t>
      </w:r>
    </w:p>
    <w:bookmarkStart w:id="12" w:name="tab:scorecard"/>
    <w:p>
      <w:pPr>
        <w:pStyle w:val="TableCaption"/>
      </w:pPr>
      <w:r>
        <w:t xml:space="preserve">Сводка по гипотезам (предрегистрированные Г1–Г4, вердикты на 20 повторах).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водка по гипотезам (предрегистрированные Г1–Г4, вердикты на 20 повторах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Гипотеза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Вердикт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Центральная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подтверждена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conf+DAgger — ничья с правилами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26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 (разрыв до оракула)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оракул 1,99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правила/PPO/«серый ящик»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 (устойчивость прогноза)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выполнена, но недостаточна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устойчив, замкнутый контур обрушивается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 (прозрачность)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бьёт NN-MPC; подтверждающий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«серый ящик»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Г4а (адаптация)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поддержана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DAgger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088</m:t>
              </m:r>
            </m:oMath>
            <w:r>
              <w:t xml:space="preserve">; EKF хуже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Г4б (защита при OOD)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наруш.,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Г4в (без эксплуатации ошибки)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подтверждающий много нарушает; защита смягчает</w:t>
            </w:r>
          </w:p>
        </w:tc>
      </w:tr>
    </w:tbl>
    <w:bookmarkEnd w:id="12"/>
    <w:p>
      <w:pPr>
        <w:pStyle w:val="BodyText"/>
      </w:pPr>
      <w:r>
        <w:t xml:space="preserve">Абляция E2 по сглаживанию, оптимизатору, библиотеке и степени (42 рецепта) выбрала — по</w:t>
      </w:r>
      <w:r>
        <w:t xml:space="preserve"> </w:t>
      </w:r>
      <w:r>
        <w:t xml:space="preserve">устойчивости многошагового прогноза и критериям прозрачности и встраиваемости — рецепт с</w:t>
      </w:r>
      <w:r>
        <w:t xml:space="preserve"> </w:t>
      </w:r>
      <w:r>
        <w:t xml:space="preserve">библиотекой</w:t>
      </w:r>
      <w:r>
        <w:t xml:space="preserve"> </w:t>
      </w:r>
      <w:r>
        <w:rPr>
          <w:rStyle w:val="VerbatimChar"/>
        </w:rPr>
        <w:t xml:space="preserve">physics_no_cross</w:t>
      </w:r>
      <w:r>
        <w:t xml:space="preserve">, степенью 1 и ансамблевым оптимизатором как</w:t>
      </w:r>
      <w:r>
        <w:t xml:space="preserve"> </w:t>
      </w:r>
      <w:r>
        <w:t xml:space="preserve">подтверждающий, замороженный до какой-либо оценки в замкнутом контуре. Расхождение</w:t>
      </w:r>
      <w:r>
        <w:t xml:space="preserve"> </w:t>
      </w:r>
      <w:r>
        <w:t xml:space="preserve">многошагового прогноза для этого рецепта пренебрежимо (доля расходящихся траекторий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при бюджете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 суток), так что он проходит разомкнутую планку, на которую</w:t>
      </w:r>
      <w:r>
        <w:t xml:space="preserve"> </w:t>
      </w:r>
      <w:r>
        <w:t xml:space="preserve">опирается предрегистрация. Гипотеза </w:t>
      </w:r>
      <w:r>
        <w:rPr>
          <w:b/>
          <w:bCs/>
        </w:rPr>
        <w:t xml:space="preserve">Г2</w:t>
      </w:r>
      <w:r>
        <w:t xml:space="preserve"> </w:t>
      </w:r>
      <w:r>
        <w:t xml:space="preserve">(существование рецепта с устойчивым прогнозом)</w:t>
      </w:r>
      <w:r>
        <w:t xml:space="preserve"> </w:t>
      </w:r>
      <w:r>
        <w:t xml:space="preserve">тем самым выполнена, однако, как показано ниже, устойчивости в разомкнутом контуре</w:t>
      </w:r>
      <w:r>
        <w:t xml:space="preserve"> </w:t>
      </w:r>
      <w:r>
        <w:t xml:space="preserve">необходимо, но недостаточно.</w:t>
      </w:r>
    </w:p>
    <w:p>
      <w:pPr>
        <w:pStyle w:val="BodyText"/>
      </w:pPr>
      <w:r>
        <w:t xml:space="preserve">Таблица </w:t>
      </w:r>
      <w:hyperlink w:anchor="tab:e3main">
        <w:r>
          <w:rPr>
            <w:rStyle w:val="Hyperlink"/>
          </w:rPr>
          <w:t xml:space="preserve">[tab:e3main]</w:t>
        </w:r>
      </w:hyperlink>
      <w:r>
        <w:t xml:space="preserve"> </w:t>
      </w:r>
      <w:r>
        <w:t xml:space="preserve">приводит EPI, нарушения и тяжесть в замкнутом контуре на 20 повторах</w:t>
      </w:r>
      <w:r>
        <w:t xml:space="preserve"> </w:t>
      </w:r>
      <w:r>
        <w:t xml:space="preserve">для всех десяти регуляторов с парной значимостью против эталона на правилах;</w:t>
      </w:r>
      <w:r>
        <w:t xml:space="preserve"> </w:t>
      </w:r>
      <w:r>
        <w:t xml:space="preserve">рисунок </w:t>
      </w:r>
      <w:hyperlink w:anchor="fig:pareto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показывает плоскость Парето «EPI–нарушения». Вершины достигает лишь</w:t>
      </w:r>
      <w:r>
        <w:t xml:space="preserve"> </w:t>
      </w:r>
      <w:r>
        <w:t xml:space="preserve">восстановленное методом DAgger SINDy-MPC: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t>40</m:t>
        </m:r>
        <m:r>
          <m:t> </m:t>
        </m:r>
        <m:sSup>
          <m:e>
            <m:r>
              <m:rPr>
                <m:nor/>
                <m:sty m:val="p"/>
              </m:rPr>
              <m:t>EUR/м</m:t>
            </m:r>
          </m:e>
          <m:sup>
            <m:r>
              <m:t>2</m:t>
            </m:r>
          </m:sup>
        </m:sSup>
      </m:oMath>
      <w:r>
        <w:t xml:space="preserve">, статистически</w:t>
      </w:r>
      <w:r>
        <w:t xml:space="preserve"> </w:t>
      </w:r>
      <w:r>
        <w:t xml:space="preserve">неотличимо от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63</m:t>
        </m:r>
      </m:oMath>
      <w:r>
        <w:t xml:space="preserve"> </w:t>
      </w:r>
      <w:r>
        <w:t xml:space="preserve">у правил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59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26</m:t>
        </m:r>
      </m:oMath>
      <w:r>
        <w:t xml:space="preserve">). Все остальные</w:t>
      </w:r>
      <w:r>
        <w:t xml:space="preserve"> </w:t>
      </w:r>
      <w:r>
        <w:t xml:space="preserve">регуляторы значимо хуже настроенной эвристики: МПУ «серого ящика» (</w:t>
      </w:r>
      <m:oMath>
        <m:r>
          <m:t>3</m:t>
        </m:r>
        <m:r>
          <m:rPr>
            <m:sty m:val="p"/>
          </m:rPr>
          <m:t>,</m:t>
        </m:r>
        <m:r>
          <m:t>79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017</m:t>
        </m:r>
      </m:oMath>
      <w:r>
        <w:t xml:space="preserve">), PPO (</w:t>
      </w:r>
      <m:oMath>
        <m:r>
          <m:t>3</m:t>
        </m:r>
        <m:r>
          <m:rPr>
            <m:sty m:val="p"/>
          </m:rPr>
          <m:t>,</m:t>
        </m:r>
        <m:r>
          <m:t>36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), предрегистрированное</w:t>
      </w:r>
      <w:r>
        <w:t xml:space="preserve"> </w:t>
      </w:r>
      <w:r>
        <w:t xml:space="preserve">подтверждающее SINDy-MPC (</w:t>
      </w:r>
      <m:oMath>
        <m:r>
          <m:t>1</m:t>
        </m:r>
        <m:r>
          <m:rPr>
            <m:sty m:val="p"/>
          </m:rPr>
          <m:t>,</m:t>
        </m:r>
        <m:r>
          <m:t>18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009</m:t>
        </m:r>
      </m:oMath>
      <w:r>
        <w:t xml:space="preserve">), SAC (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41</m:t>
        </m:r>
      </m:oMath>
      <w:r>
        <w:t xml:space="preserve">) и NN-MPC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09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). Недоминируемый фронт образуют</w:t>
      </w:r>
      <w:r>
        <w:t xml:space="preserve"> </w:t>
      </w:r>
      <w:r>
        <w:t xml:space="preserve">восстановленное DAgger SINDy-MPC, эвристика на правилах, PPO и — как вырожденный угол минимума</w:t>
      </w:r>
      <w:r>
        <w:t xml:space="preserve"> </w:t>
      </w:r>
      <w:r>
        <w:t xml:space="preserve">нарушений с отрицательным EPI — SAC. По оси тяжести восстановленное DAgger SINDy-MPC</w:t>
      </w:r>
      <w:r>
        <w:t xml:space="preserve"> </w:t>
      </w:r>
      <w:r>
        <w:t xml:space="preserve">накапливает даже меньшую суммарную тяжесть нарушений, чем правила (</w:t>
      </w:r>
      <m:oMath>
        <m:r>
          <m:t>426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485</m:t>
        </m:r>
      </m:oMath>
      <w:r>
        <w:t xml:space="preserve">),</w:t>
      </w:r>
      <w:r>
        <w:t xml:space="preserve"> </w:t>
      </w:r>
      <w:r>
        <w:t xml:space="preserve">несмотря на большее число шагов с нарушениями; поэтому обе оси приводятся совместно. Таким</w:t>
      </w:r>
      <w:r>
        <w:t xml:space="preserve"> </w:t>
      </w:r>
      <w:r>
        <w:t xml:space="preserve">образом, центральная предрегистрированная гипотеза не подтверждена, и единственный</w:t>
      </w:r>
      <w:r>
        <w:t xml:space="preserve"> </w:t>
      </w:r>
      <w:r>
        <w:t xml:space="preserve">интерпретируемый регулятор, дотягивающий до эвристики, достигает этого ценой починки,</w:t>
      </w:r>
      <w:r>
        <w:t xml:space="preserve"> </w:t>
      </w:r>
      <w:r>
        <w:t xml:space="preserve">механизм которой рассматривается далее.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  <w:jc w:val="left"/>
            </w:pPr>
            <w:r>
              <w:t xml:space="preserve">Регулятор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Наруш.,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scaled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T</m:t>
              </m:r>
            </m:oMath>
            <w:r>
              <w:t xml:space="preserve">-кор.,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EPI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Holm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Фронт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(EUR/м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шагов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vs прав.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SINDy-MPC (conf+DAgger)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23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 (нз)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правилах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63</m:t>
              </m:r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SINDy-MPC (плотный)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81</m:t>
              </m:r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МПУ «серого ящика»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79</m:t>
              </m:r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PPO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36</m:t>
              </m:r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SINDy-MPC (плотный+DAgger)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23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Оракул (3 ч, CEM)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99</m:t>
              </m:r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2e</w:t>
            </w:r>
            <w:r>
              <w:t xml:space="preserve">-</w:t>
            </w: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SINDy-MPC (подтверждающий)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18</m:t>
              </m:r>
              <m:r>
                <m:rPr>
                  <m:sty m:val="p"/>
                </m:rPr>
                <m:t>±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41</m:t>
              </m:r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04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NN-MPC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09</m:t>
              </m:r>
              <m:r>
                <m:rPr>
                  <m:sty m:val="p"/>
                </m:rPr>
                <m:t>±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2e</w:t>
            </w:r>
            <w:r>
              <w:t xml:space="preserve">-</w:t>
            </w: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6" w:name="fig:pareto"/>
    <w:p>
      <w:pPr>
        <w:pStyle w:val="CaptionedFigure"/>
      </w:pPr>
      <w:r>
        <w:drawing>
          <wp:inline>
            <wp:extent cx="5334000" cy="3240628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e3_pareto_annotated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Плоскость Парето (EPI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нарушения, 20 повторов). Недоминируемый фронт</w:t>
      </w:r>
      <w:r>
        <w:t xml:space="preserve"> </w:t>
      </w:r>
      <w:r>
        <w:t xml:space="preserve">(красный): правила, SINDy-MPC(conf+DAgger), PPO и SAC (вырожденный угол минимума нарушений).</w:t>
      </w:r>
      <w:r>
        <w:t xml:space="preserve"> </w:t>
      </w:r>
      <w:r>
        <w:t xml:space="preserve">Починенное плотное SINDy-MPC совпадает с «серым ящиком»: экономность не тождественна</w:t>
      </w:r>
      <w:r>
        <w:t xml:space="preserve"> </w:t>
      </w:r>
      <w:r>
        <w:t xml:space="preserve">интерпретируемости.</w:t>
      </w:r>
    </w:p>
    <w:bookmarkEnd w:id="16"/>
    <w:p>
      <w:pPr>
        <w:pStyle w:val="BodyText"/>
      </w:pPr>
      <w:r>
        <w:rPr>
          <w:b/>
          <w:bCs/>
        </w:rPr>
        <w:t xml:space="preserve">Механизм: разреженность скрывает исполнительный механизм.</w:t>
      </w:r>
      <w:r>
        <w:t xml:space="preserve"> Предрегистрированный</w:t>
      </w:r>
      <w:r>
        <w:t xml:space="preserve"> </w:t>
      </w:r>
      <w:r>
        <w:t xml:space="preserve">подтверждающий рецепт экономически слабейший среди интерпретируемых регуляторов</w:t>
      </w:r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±</m:t>
        </m:r>
        <m:r>
          <m:t>4</m:t>
        </m:r>
        <m:r>
          <m:rPr>
            <m:sty m:val="p"/>
          </m:rPr>
          <m:t>,</m:t>
        </m:r>
        <m:r>
          <m:t>33</m:t>
        </m:r>
      </m:oMath>
      <w:r>
        <w:t xml:space="preserve">, против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63</m:t>
        </m:r>
      </m:oMath>
      <w:r>
        <w:t xml:space="preserve"> </w:t>
      </w:r>
      <w:r>
        <w:t xml:space="preserve">у правил и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79</m:t>
        </m:r>
      </m:oMath>
      <w:r>
        <w:t xml:space="preserve"> </w:t>
      </w:r>
      <w:r>
        <w:t xml:space="preserve">у МПУ «серого ящика», делящего с ним</w:t>
      </w:r>
      <w:r>
        <w:t xml:space="preserve"> </w:t>
      </w:r>
      <w:r>
        <w:t xml:space="preserve">решатель и библиотеку). При этом рецепт отбирался не за плохое управление в замкнутом контуре:</w:t>
      </w:r>
      <w:r>
        <w:t xml:space="preserve"> </w:t>
      </w:r>
      <w:r>
        <w:t xml:space="preserve">он был заморожен, до какой-либо замкнутой оценки, как наиболее экономная модель, прошедшая</w:t>
      </w:r>
      <w:r>
        <w:t xml:space="preserve"> </w:t>
      </w:r>
      <w:r>
        <w:t xml:space="preserve">разомкнутые критерии и критерий прозрачности. Тем самым рецепт, который предрегистрация</w:t>
      </w:r>
      <w:r>
        <w:t xml:space="preserve"> </w:t>
      </w:r>
      <w:r>
        <w:t xml:space="preserve">удостоверила как оптимальный по идентификации, оказывается рецептом, проваливающимся в контуре.</w:t>
      </w:r>
    </w:p>
    <w:p>
      <w:pPr>
        <w:pStyle w:val="BodyText"/>
      </w:pPr>
      <w:r>
        <w:t xml:space="preserve">Причина изолируется однопараметрической абляцией. Фиксируя библиотеку</w:t>
      </w:r>
      <w:r>
        <w:t xml:space="preserve"> </w:t>
      </w:r>
      <w:r>
        <w:t xml:space="preserve">(</w:t>
      </w:r>
      <w:r>
        <w:rPr>
          <w:rStyle w:val="VerbatimChar"/>
        </w:rPr>
        <w:t xml:space="preserve">physics_no_cross</w:t>
      </w:r>
      <w:r>
        <w:t xml:space="preserve">, степень 1) и МПУ, порог разреженности STLSQ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варьируется</w:t>
      </w:r>
      <w:r>
        <w:t xml:space="preserve"> </w:t>
      </w:r>
      <w:r>
        <w:t xml:space="preserve">по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]</m:t>
        </m:r>
      </m:oMath>
      <w:r>
        <w:t xml:space="preserve">; на каждом значении для 20 повторов фиксируются число выживших</w:t>
      </w:r>
      <w:r>
        <w:t xml:space="preserve"> </w:t>
      </w:r>
      <w:r>
        <w:t xml:space="preserve">коэффициентов, знаковый коэффициент котла в уравнении температуры</w:t>
      </w:r>
      <w:r>
        <w:t xml:space="preserve"> </w:t>
      </w:r>
      <m:oMath>
        <m:sSub>
          <m:e>
            <m:r>
              <m:rPr>
                <m:sty m:val="p"/>
              </m:rPr>
              <m:t>Ξ</m:t>
            </m:r>
          </m:e>
          <m:sub>
            <m:sSub>
              <m:e>
                <m:r>
                  <m:t>u</m:t>
                </m:r>
              </m:e>
              <m:sub>
                <m:r>
                  <m:rPr>
                    <m:nor/>
                    <m:sty m:val="p"/>
                  </m:rPr>
                  <m:t>Boil</m:t>
                </m:r>
              </m:sub>
            </m:sSub>
            <m:r>
              <m:rPr>
                <m:sty m:val="p"/>
              </m:rPr>
              <m:t>→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in</m:t>
                </m:r>
              </m:sub>
            </m:sSub>
          </m:sub>
        </m:sSub>
      </m:oMath>
      <w:r>
        <w:t xml:space="preserve"> </w:t>
      </w:r>
      <w:r>
        <w:t xml:space="preserve">(единственного смоделированного активного органа</w:t>
      </w:r>
      <w:r>
        <w:t xml:space="preserve"> </w:t>
      </w:r>
      <w:r>
        <w:t xml:space="preserve">нагрева),</w:t>
      </w:r>
      <w:r>
        <w:t xml:space="preserve"> </w:t>
      </w:r>
      <w:r>
        <w:rPr>
          <w:i/>
          <w:iCs/>
        </w:rPr>
        <w:t xml:space="preserve">разомкнутая</w:t>
      </w:r>
      <w:r>
        <w:t xml:space="preserve"> </w:t>
      </w:r>
      <w:r>
        <w:t xml:space="preserve">ошибка многошагового прогноза температуры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t xml:space="preserve"> </w:t>
      </w:r>
      <w:r>
        <w:t xml:space="preserve">на</w:t>
      </w:r>
      <w:r>
        <w:t xml:space="preserve"> </w:t>
      </w:r>
      <w:r>
        <w:t xml:space="preserve">тестовом сезоне и</w:t>
      </w:r>
      <w:r>
        <w:t xml:space="preserve"> </w:t>
      </w:r>
      <w:r>
        <w:rPr>
          <w:i/>
          <w:iCs/>
        </w:rPr>
        <w:t xml:space="preserve">замкнутый</w:t>
      </w:r>
      <w:r>
        <w:t xml:space="preserve"> </w:t>
      </w:r>
      <w:r>
        <w:t xml:space="preserve">EPI (рис. </w:t>
      </w:r>
      <w:hyperlink w:anchor="fig:lambda">
        <w:r>
          <w:rPr>
            <w:rStyle w:val="Hyperlink"/>
          </w:rPr>
          <w:t xml:space="preserve">2</w:t>
        </w:r>
      </w:hyperlink>
      <w:r>
        <w:t xml:space="preserve">, таблица </w:t>
      </w:r>
      <w:hyperlink w:anchor="tab:lambda">
        <w:r>
          <w:rPr>
            <w:rStyle w:val="Hyperlink"/>
          </w:rPr>
          <w:t xml:space="preserve">2</w:t>
        </w:r>
      </w:hyperlink>
      <w:r>
        <w:t xml:space="preserve">).</w:t>
      </w:r>
    </w:p>
    <w:bookmarkStart w:id="20" w:name="fig:lambda"/>
    <w:p>
      <w:pPr>
        <w:pStyle w:val="CaptionedFigure"/>
      </w:pPr>
      <w:r>
        <w:drawing>
          <wp:inline>
            <wp:extent cx="5334000" cy="3631933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e3_lambda_sweep_ablatio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1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Свип порога разреженности</w:t>
      </w:r>
      <w:r>
        <w:t xml:space="preserve"> </w:t>
      </w:r>
      <m:oMath>
        <m:r>
          <m:t>λ</m:t>
        </m:r>
      </m:oMath>
      <w:r>
        <w:t xml:space="preserve">: замкнутый EPI (синий) обрушивается по мере</w:t>
      </w:r>
      <w:r>
        <w:t xml:space="preserve"> </w:t>
      </w:r>
      <w:r>
        <w:t xml:space="preserve">обнуления коэффициента котла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Boil</m:t>
            </m:r>
          </m:sub>
        </m:sSub>
        <m:r>
          <m:t>​</m:t>
        </m:r>
        <m:r>
          <m:rPr>
            <m:sty m:val="p"/>
          </m:rPr>
          <m:t>→</m:t>
        </m:r>
        <m:r>
          <m:t>​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t xml:space="preserve"> </w:t>
      </w:r>
      <w:r>
        <w:t xml:space="preserve">(зелёный), тогда как</w:t>
      </w:r>
      <w:r>
        <w:t xml:space="preserve"> </w:t>
      </w:r>
      <w:r>
        <w:t xml:space="preserve">разомкнутая ошибка прогноза (красный) остаётся плоской. Отбор модели по разомкнутому контуру</w:t>
      </w:r>
      <w:r>
        <w:t xml:space="preserve"> </w:t>
      </w:r>
      <w:r>
        <w:t xml:space="preserve">нечувствителен к провалу замкнутого.</w:t>
      </w:r>
    </w:p>
    <w:bookmarkEnd w:id="20"/>
    <w:bookmarkStart w:id="21" w:name="tab:lambda"/>
    <w:p>
      <w:pPr>
        <w:pStyle w:val="TableCaption"/>
      </w:pPr>
      <w:r>
        <w:t xml:space="preserve">Свип порога разреженности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суррогата</w:t>
      </w:r>
      <w:r>
        <w:t xml:space="preserve"> </w:t>
      </w:r>
      <w:r>
        <w:rPr>
          <w:rStyle w:val="VerbatimChar"/>
        </w:rPr>
        <w:t xml:space="preserve">physics_no_cross</w:t>
      </w:r>
      <w:r>
        <w:t xml:space="preserve"> </w:t>
      </w:r>
      <w:r>
        <w:t xml:space="preserve">степени 1,</w:t>
      </w:r>
      <w:r>
        <w:t xml:space="preserve"> </w:t>
      </w:r>
      <w:r>
        <w:t xml:space="preserve">20 повторов. Коэффициент котла и замкнутый EPI обрушиваются около</w:t>
      </w:r>
      <w:r>
        <w:t xml:space="preserve"> </w:t>
      </w:r>
      <m:oMath>
        <m:r>
          <m:t>λ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</w:t>
      </w:r>
      <w:r>
        <w:t xml:space="preserve"> </w:t>
      </w:r>
      <w:r>
        <w:t xml:space="preserve">тогда как разомкнутая ошибка прогноза остаётся плоской.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вип порога разреженности \lambda суррогата physics_no_cross степени 1, 20 повторов. Коэффициент котла и замкнутый EPI обрушиваются около \lambda\!\approx\!0{,}05, тогда как разомкнутая ошибка прогноза остаётся плоской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ненулевых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rPr>
                      <m:sty m:val="p"/>
                    </m:rPr>
                    <m:t>Ξ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Boil</m:t>
                      </m:r>
                    </m:sub>
                  </m:sSub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in</m:t>
                      </m:r>
                    </m:sub>
                  </m:sSub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(разомкн.)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EPI (замкн.)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3,79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2,49</w:t>
            </w:r>
          </w:p>
        </w:tc>
      </w:tr>
    </w:tbl>
    <w:bookmarkEnd w:id="21"/>
    <w:p>
      <w:pPr>
        <w:pStyle w:val="BodyText"/>
      </w:pPr>
      <w:r>
        <w:t xml:space="preserve">Две величины изменяются в противоположных направлениях. С ростом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от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модель становится экономнее (число членов</w:t>
      </w:r>
      <w:r>
        <w:t xml:space="preserve"> </w:t>
      </w:r>
      <m:oMath>
        <m:r>
          <m:t>54</m:t>
        </m:r>
        <m:r>
          <m:rPr>
            <m:sty m:val="p"/>
          </m:rPr>
          <m:t>→</m:t>
        </m:r>
        <m:r>
          <m:t>20</m:t>
        </m:r>
      </m:oMath>
      <w:r>
        <w:t xml:space="preserve">), а коэффициент котла затухает и</w:t>
      </w:r>
      <w:r>
        <w:t xml:space="preserve"> </w:t>
      </w:r>
      <w:r>
        <w:t xml:space="preserve">исчезает:</w:t>
      </w:r>
      <w:r>
        <w:t xml:space="preserve"> </w:t>
      </w:r>
      <m:oMath>
        <m:sSub>
          <m:e>
            <m:r>
              <m:rPr>
                <m:sty m:val="p"/>
              </m:rPr>
              <m:t>Ξ</m:t>
            </m:r>
          </m:e>
          <m:sub>
            <m:sSub>
              <m:e>
                <m:r>
                  <m:t>u</m:t>
                </m:r>
              </m:e>
              <m:sub>
                <m:r>
                  <m:rPr>
                    <m:nor/>
                    <m:sty m:val="p"/>
                  </m:rPr>
                  <m:t>Boil</m:t>
                </m:r>
              </m:sub>
            </m:sSub>
            <m:r>
              <m:rPr>
                <m:sty m:val="p"/>
              </m:rPr>
              <m:t>→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in</m:t>
                </m:r>
              </m:sub>
            </m:sSub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035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032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03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006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и ровно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  <w:r>
        <w:t xml:space="preserve"> </w:t>
      </w:r>
      <w:r>
        <w:t xml:space="preserve">Замкнутый EPI отслеживает этот обвал — с пика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67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99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 ровно там, где член котла отсекается порогом. Как только в суррогате не</w:t>
      </w:r>
      <w:r>
        <w:t xml:space="preserve"> </w:t>
      </w:r>
      <w:r>
        <w:t xml:space="preserve">остаётся органа нагрева, МПУ не может планировать отопление, и в отопительно-доминированную</w:t>
      </w:r>
      <w:r>
        <w:t xml:space="preserve"> </w:t>
      </w:r>
      <w:r>
        <w:t xml:space="preserve">весну потеря велика. Разомкнутая метрика при этом почти инертна: ошибка многошагового прогноза</w:t>
      </w:r>
      <w:r>
        <w:t xml:space="preserve"> </w:t>
      </w:r>
      <w:r>
        <w:t xml:space="preserve">изменяется лишь с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25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39</m:t>
        </m:r>
      </m:oMath>
      <w:r>
        <w:t xml:space="preserve"> </w:t>
      </w:r>
      <w:r>
        <w:t xml:space="preserve">(на</w:t>
      </w:r>
      <w:r>
        <w:t xml:space="preserve"> </w:t>
      </w:r>
      <m:oMath>
        <m:r>
          <m:t>6</m:t>
        </m:r>
        <m:r>
          <m:rPr>
            <m:sty m:val="p"/>
          </m:rPr>
          <m:t>%</m:t>
        </m:r>
      </m:oMath>
      <w:r>
        <w:t xml:space="preserve">), пока EPI изменяется в пять раз, а член котла</w:t>
      </w:r>
      <w:r>
        <w:t xml:space="preserve"> </w:t>
      </w:r>
      <w:r>
        <w:t xml:space="preserve">исчезает вовсе. Предрегистрированный разомкнутый критерий, следовательно, нечувствителен к</w:t>
      </w:r>
      <w:r>
        <w:t xml:space="preserve"> </w:t>
      </w:r>
      <w:r>
        <w:t xml:space="preserve">провалу замкнутого контура, который сам же вызывает. Это конкретный, физически читаемый пример</w:t>
      </w:r>
      <w:r>
        <w:t xml:space="preserve"> </w:t>
      </w:r>
      <w:r>
        <w:t xml:space="preserve">рассогласования между точностью прогноза и качеством управления</w:t>
      </w:r>
      <w:r>
        <w:t xml:space="preserve"> </w:t>
      </w:r>
      <w:r>
        <w:t xml:space="preserve">(Lambert и др. 2020 г.; Jackson и др. 2022 г.)</w:t>
      </w:r>
      <w:r>
        <w:t xml:space="preserve"> </w:t>
      </w:r>
      <w:r>
        <w:t xml:space="preserve">и реализация на разреженной идентификации того</w:t>
      </w:r>
      <w:r>
        <w:t xml:space="preserve"> </w:t>
      </w:r>
      <w:r>
        <w:t xml:space="preserve">принципа идентификации для целей управления, что арбитром качества модели должен быть замкнутый</w:t>
      </w:r>
      <w:r>
        <w:t xml:space="preserve"> </w:t>
      </w:r>
      <w:r>
        <w:t xml:space="preserve">контур</w:t>
      </w:r>
      <w:r>
        <w:t xml:space="preserve"> </w:t>
      </w:r>
      <w:r>
        <w:t xml:space="preserve">(Gevers 1993 г.; Van den Hof и Schrama 1995 г.)</w:t>
      </w:r>
      <w:r>
        <w:t xml:space="preserve">.</w:t>
      </w:r>
    </w:p>
    <w:p>
      <w:pPr>
        <w:pStyle w:val="BodyText"/>
      </w:pPr>
      <w:r>
        <w:t xml:space="preserve">Если причина — удаление члена котла, то его восстановление должно возвращать качество; оба</w:t>
      </w:r>
      <w:r>
        <w:t xml:space="preserve"> </w:t>
      </w:r>
      <w:r>
        <w:t xml:space="preserve">независимых вмешательства именно это и делают (таблица </w:t>
      </w:r>
      <w:hyperlink w:anchor="tab:e3main">
        <w:r>
          <w:rPr>
            <w:rStyle w:val="Hyperlink"/>
          </w:rPr>
          <w:t xml:space="preserve">[tab:e3main]</w:t>
        </w:r>
      </w:hyperlink>
      <w:r>
        <w:t xml:space="preserve">). Плотный рецепт</w:t>
      </w:r>
      <w:r>
        <w:t xml:space="preserve"> </w:t>
      </w:r>
      <w:r>
        <w:t xml:space="preserve">(</w:t>
      </w:r>
      <w:r>
        <w:rPr>
          <w:rStyle w:val="VerbatimChar"/>
        </w:rPr>
        <w:t xml:space="preserve">stlsq</w:t>
      </w:r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сохраняет</w:t>
      </w:r>
      <w:r>
        <w:t xml:space="preserve"> </w:t>
      </w:r>
      <m:oMath>
        <m:sSub>
          <m:e>
            <m:r>
              <m:rPr>
                <m:sty m:val="p"/>
              </m:rPr>
              <m:t>Ξ</m:t>
            </m:r>
          </m:e>
          <m:sub>
            <m:sSub>
              <m:e>
                <m:r>
                  <m:t>u</m:t>
                </m:r>
              </m:e>
              <m:sub>
                <m:r>
                  <m:rPr>
                    <m:nor/>
                    <m:sty m:val="p"/>
                  </m:rPr>
                  <m:t>Boil</m:t>
                </m:r>
              </m:sub>
            </m:sSub>
            <m:r>
              <m:rPr>
                <m:sty m:val="p"/>
              </m:rPr>
              <m:t>→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in</m:t>
                </m:r>
              </m:sub>
            </m:sSub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034</m:t>
        </m:r>
      </m:oMath>
      <w:r>
        <w:t xml:space="preserve"> </w:t>
      </w:r>
      <w:r>
        <w:t xml:space="preserve">и поднимает EPI с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18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81</m:t>
        </m:r>
      </m:oMath>
      <w:r>
        <w:t xml:space="preserve">;</w:t>
      </w:r>
      <w:r>
        <w:t xml:space="preserve"> </w:t>
      </w:r>
      <w:r>
        <w:t xml:space="preserve">DAgger, применённый к подтверждающему рецепту, вновь вводит член через данные замкнутого</w:t>
      </w:r>
      <w:r>
        <w:t xml:space="preserve"> </w:t>
      </w:r>
      <w:r>
        <w:t xml:space="preserve">контура и поднимает EPI до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23</m:t>
        </m:r>
      </m:oMath>
      <w:r>
        <w:t xml:space="preserve">, неотличимо от эталона на правилах. По всем вариантам</w:t>
      </w:r>
      <w:r>
        <w:t xml:space="preserve"> </w:t>
      </w:r>
      <w:r>
        <w:t xml:space="preserve">SINDy-MPC EPI монотонен относительно наличия коэффициента котла: при</w:t>
      </w:r>
      <w:r>
        <w:t xml:space="preserve"> </w:t>
      </w:r>
      <m:oMath>
        <m:sSub>
          <m:e>
            <m:r>
              <m:rPr>
                <m:sty m:val="p"/>
              </m:rPr>
              <m:t>Ξ</m:t>
            </m:r>
          </m:e>
          <m:sub>
            <m:sSub>
              <m:e>
                <m:r>
                  <m:t>u</m:t>
                </m:r>
              </m:e>
              <m:sub>
                <m:r>
                  <m:rPr>
                    <m:nor/>
                    <m:sty m:val="p"/>
                  </m:rPr>
                  <m:t>Boil</m:t>
                </m:r>
              </m:sub>
            </m:sSub>
            <m:r>
              <m:rPr>
                <m:sty m:val="p"/>
              </m:rPr>
              <m:t>→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in</m:t>
                </m:r>
              </m:sub>
            </m:sSub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он поднимается с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4</m:t>
        </m:r>
      </m:oMath>
      <w:r>
        <w:t xml:space="preserve">–</w:t>
      </w:r>
      <m:oMath>
        <m:r>
          <m:t>5</m:t>
        </m:r>
        <m:r>
          <m:t> </m:t>
        </m:r>
        <m:sSup>
          <m:e>
            <m:r>
              <m:rPr>
                <m:nor/>
                <m:sty m:val="p"/>
              </m:rPr>
              <m:t>EUR/м</m:t>
            </m:r>
          </m:e>
          <m:sup>
            <m:r>
              <m:t>2</m:t>
            </m:r>
          </m:sup>
        </m:sSup>
      </m:oMath>
      <w:r>
        <w:t xml:space="preserve">. Коэффициент котла служит одномерным причинным индикатором</w:t>
      </w:r>
      <w:r>
        <w:t xml:space="preserve"> </w:t>
      </w:r>
      <w:r>
        <w:t xml:space="preserve">экономической состоятельности.</w:t>
      </w:r>
    </w:p>
    <w:p>
      <w:pPr>
        <w:pStyle w:val="BodyText"/>
      </w:pPr>
      <w:r>
        <w:t xml:space="preserve">Плотная починка при этом не является «чёрным ящиком»: это то же отображение «белого ящика» с</w:t>
      </w:r>
      <w:r>
        <w:t xml:space="preserve"> </w:t>
      </w:r>
      <w:r>
        <w:t xml:space="preserve">бо́льшим числом ненулевых членов, и восстановленное плотное SINDy-MPC (</w:t>
      </w:r>
      <m:oMath>
        <m:r>
          <m:t>3</m:t>
        </m:r>
        <m:r>
          <m:rPr>
            <m:sty m:val="p"/>
          </m:rPr>
          <m:t>,</m:t>
        </m:r>
        <m:r>
          <m:t>81</m:t>
        </m:r>
      </m:oMath>
      <w:r>
        <w:t xml:space="preserve">) совпадает с</w:t>
      </w:r>
      <w:r>
        <w:t xml:space="preserve"> </w:t>
      </w:r>
      <w:r>
        <w:t xml:space="preserve">первопринципным МПУ «серого ящика» (</w:t>
      </w:r>
      <m:oMath>
        <m:r>
          <m:t>3</m:t>
        </m:r>
        <m:r>
          <m:rPr>
            <m:sty m:val="p"/>
          </m:rPr>
          <m:t>,</m:t>
        </m:r>
        <m:r>
          <m:t>79</m:t>
        </m:r>
      </m:oMath>
      <w:r>
        <w:t xml:space="preserve">) в пределах шума (рис. </w:t>
      </w:r>
      <w:hyperlink w:anchor="fig:pareto">
        <w:r>
          <w:rPr>
            <w:rStyle w:val="Hyperlink"/>
          </w:rPr>
          <w:t xml:space="preserve">1</w:t>
        </w:r>
      </w:hyperlink>
      <w:r>
        <w:t xml:space="preserve">). Как</w:t>
      </w:r>
      <w:r>
        <w:t xml:space="preserve"> </w:t>
      </w:r>
      <w:r>
        <w:t xml:space="preserve">только пере-разреживание устранено, интерпретируемый суррогат схлопывается в физическую модель,</w:t>
      </w:r>
      <w:r>
        <w:t xml:space="preserve"> </w:t>
      </w:r>
      <w:r>
        <w:t xml:space="preserve">которую он призван был заменить. Разреженность отняла не точность и не прозрачность, а</w:t>
      </w:r>
      <w:r>
        <w:t xml:space="preserve"> </w:t>
      </w:r>
      <w:r>
        <w:t xml:space="preserve">управляемость, обеспечиваемую единственным членом исполнительного механизма с малым модулем.</w:t>
      </w:r>
      <w:r>
        <w:t xml:space="preserve"> </w:t>
      </w:r>
      <w:r>
        <w:t xml:space="preserve">Из этого вытекают два практических следствия. Разреженность не должна быть целью отбора модели,</w:t>
      </w:r>
      <w:r>
        <w:t xml:space="preserve"> </w:t>
      </w:r>
      <w:r>
        <w:t xml:space="preserve">когда конечная задача — управление в замкнутом контуре</w:t>
      </w:r>
      <w:r>
        <w:t xml:space="preserve"> </w:t>
      </w:r>
      <w:r>
        <w:t xml:space="preserve">(Farahmand и др. 2017 г.; Cortiella и др. 2021 г.; Dang и др. 2026 г.)</w:t>
      </w:r>
      <w:r>
        <w:t xml:space="preserve">; а критерий прозрачности,</w:t>
      </w:r>
      <w:r>
        <w:t xml:space="preserve"> </w:t>
      </w:r>
      <w:r>
        <w:t xml:space="preserve">удостоверяющий модель с обнулённым ключевым исполнительным механизмом, неполон — выпадение</w:t>
      </w:r>
      <w:r>
        <w:t xml:space="preserve"> </w:t>
      </w:r>
      <w:r>
        <w:t xml:space="preserve">такого члена само по себе должно означать провал критерия.</w:t>
      </w:r>
    </w:p>
    <w:p>
      <w:pPr>
        <w:pStyle w:val="BodyText"/>
      </w:pPr>
      <w:r>
        <w:rPr>
          <w:b/>
          <w:bCs/>
        </w:rPr>
        <w:t xml:space="preserve">Точность модели не объясняет провал.</w:t>
      </w:r>
      <w:r>
        <w:t xml:space="preserve"> Если бы дело было в недостаточной точности</w:t>
      </w:r>
      <w:r>
        <w:t xml:space="preserve"> </w:t>
      </w:r>
      <w:r>
        <w:t xml:space="preserve">суррогата, выигрывало бы МПУ по истинной модели. Этого не происходит: оракул даёт лишь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99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68</m:t>
        </m:r>
        <m:r>
          <m:t> </m:t>
        </m:r>
        <m:sSup>
          <m:e>
            <m:r>
              <m:rPr>
                <m:nor/>
                <m:sty m:val="p"/>
              </m:rPr>
              <m:t>EUR/м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(таблица </w:t>
      </w:r>
      <w:hyperlink w:anchor="tab:e3main">
        <w:r>
          <w:rPr>
            <w:rStyle w:val="Hyperlink"/>
          </w:rPr>
          <w:t xml:space="preserve">[tab:e3main]</w:t>
        </w:r>
      </w:hyperlink>
      <w:r>
        <w:t xml:space="preserve">), ниже эвристики, вариантов с DAgger</w:t>
      </w:r>
      <w:r>
        <w:t xml:space="preserve"> </w:t>
      </w:r>
      <w:r>
        <w:t xml:space="preserve">и плотного/«серого» и PPO. Проба по горизонту (рис. </w:t>
      </w:r>
      <w:hyperlink w:anchor="fig:oracle">
        <w:r>
          <w:rPr>
            <w:rStyle w:val="Hyperlink"/>
          </w:rPr>
          <w:t xml:space="preserve">3</w:t>
        </w:r>
      </w:hyperlink>
      <w:r>
        <w:t xml:space="preserve">) объясняет причину: EPI</w:t>
      </w:r>
      <w:r>
        <w:t xml:space="preserve"> </w:t>
      </w:r>
      <w:r>
        <w:t xml:space="preserve">падает, а не растёт с горизонтом (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26</m:t>
        </m:r>
      </m:oMath>
      <w:r>
        <w:t xml:space="preserve"> </w:t>
      </w:r>
      <w:r>
        <w:t xml:space="preserve">при 3 ч,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04</m:t>
        </m:r>
      </m:oMath>
      <w:r>
        <w:t xml:space="preserve"> </w:t>
      </w:r>
      <w:r>
        <w:t xml:space="preserve">при 12 ч,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51</m:t>
        </m:r>
      </m:oMath>
      <w:r>
        <w:t xml:space="preserve"> </w:t>
      </w:r>
      <w:r>
        <w:t xml:space="preserve">при 24 ч на</w:t>
      </w:r>
      <w:r>
        <w:t xml:space="preserve"> </w:t>
      </w:r>
      <w:r>
        <w:t xml:space="preserve">14-суточном окне, где правила дают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63</m:t>
        </m:r>
      </m:oMath>
      <w:r>
        <w:t xml:space="preserve">). Прирост плода и выручка растут к уровню эвристики</w:t>
      </w:r>
      <w:r>
        <w:t xml:space="preserve"> </w:t>
      </w:r>
      <w:r>
        <w:t xml:space="preserve">по мере удлинения горизонта, но затраты — главным образом на электричество и</w:t>
      </w:r>
      <w:r>
        <w:t xml:space="preserve"> </w:t>
      </w:r>
      <w:r>
        <w:t xml:space="preserve">CO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растут быстрее, так что оракул достигает сопоставимой продукции дороже.</w:t>
      </w:r>
      <w:r>
        <w:t xml:space="preserve"> </w:t>
      </w:r>
      <w:r>
        <w:t xml:space="preserve">Это жадный перерасход из-за короткого скользящего горизонта, а не дефицит точности, поэтому</w:t>
      </w:r>
      <w:r>
        <w:t xml:space="preserve"> </w:t>
      </w:r>
      <w:r>
        <w:t xml:space="preserve">рамка «разрыва до оракула» (гипотеза </w:t>
      </w:r>
      <w:r>
        <w:rPr>
          <w:b/>
          <w:bCs/>
        </w:rPr>
        <w:t xml:space="preserve">Г1</w:t>
      </w:r>
      <w:r>
        <w:t xml:space="preserve">) здесь не является осмысленным потолком. Это</w:t>
      </w:r>
      <w:r>
        <w:t xml:space="preserve"> </w:t>
      </w:r>
      <w:r>
        <w:t xml:space="preserve">структурное свойство короткогоризонтного экономического МПУ, а не ошибка эксперимента: оракул</w:t>
      </w:r>
      <w:r>
        <w:t xml:space="preserve"> </w:t>
      </w:r>
      <w:r>
        <w:t xml:space="preserve">корректно максимизирует ровно ту величину, которую вознаграждает симулятор, — но жадно и на</w:t>
      </w:r>
      <w:r>
        <w:t xml:space="preserve"> </w:t>
      </w:r>
      <w:r>
        <w:t xml:space="preserve">слишком коротком окне.</w:t>
      </w:r>
    </w:p>
    <w:bookmarkStart w:id="25" w:name="fig:oracle"/>
    <w:p>
      <w:pPr>
        <w:pStyle w:val="CaptionedFigure"/>
      </w:pPr>
      <w:r>
        <w:drawing>
          <wp:inline>
            <wp:extent cx="4373880" cy="2870358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oracle_horizon_sweep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870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Оракул не является потолком. EPI экономического МПУ по истинной модели падает с</w:t>
      </w:r>
      <w:r>
        <w:t xml:space="preserve"> </w:t>
      </w:r>
      <w:r>
        <w:t xml:space="preserve">удлинением горизонта планирования и остаётся ниже эвристики на правилах (пунктир): короткий</w:t>
      </w:r>
      <w:r>
        <w:t xml:space="preserve"> </w:t>
      </w:r>
      <w:r>
        <w:t xml:space="preserve">скользящий горизонт жадно перерасходует.</w:t>
      </w:r>
    </w:p>
    <w:bookmarkEnd w:id="25"/>
    <w:p>
      <w:pPr>
        <w:pStyle w:val="BodyText"/>
      </w:pPr>
      <w:r>
        <w:rPr>
          <w:b/>
          <w:bCs/>
        </w:rPr>
        <w:t xml:space="preserve">Интерпретируемость не является узким местом.</w:t>
      </w:r>
      <w:r>
        <w:t xml:space="preserve"> «Чёрный ящик» также не выигрывает.</w:t>
      </w:r>
      <w:r>
        <w:t xml:space="preserve"> </w:t>
      </w:r>
      <w:r>
        <w:t xml:space="preserve">Эталоны ОП чувствительны к нормировке: наивный PPO даёт</w:t>
      </w:r>
      <w:r>
        <w:t xml:space="preserve"> </w:t>
      </w:r>
      <m:oMath>
        <m:r>
          <m:rPr>
            <m:sty m:val="p"/>
          </m:rPr>
          <m:t>−</m:t>
        </m:r>
        <m:r>
          <m:t>13</m:t>
        </m:r>
        <m:r>
          <m:t> </m:t>
        </m:r>
        <m:sSup>
          <m:e>
            <m:r>
              <m:rPr>
                <m:nor/>
                <m:sty m:val="p"/>
              </m:rPr>
              <m:t>EUR/м</m:t>
            </m:r>
          </m:e>
          <m:sup>
            <m:r>
              <m:t>2</m:t>
            </m:r>
          </m:sup>
        </m:sSup>
      </m:oMath>
      <w:r>
        <w:t xml:space="preserve">, тогда как</w:t>
      </w:r>
      <w:r>
        <w:t xml:space="preserve"> </w:t>
      </w:r>
      <w:r>
        <w:t xml:space="preserve">штатная нормировка наблюдений и вознаграждения поднимает его до</w:t>
      </w:r>
      <w:r>
        <w:t xml:space="preserve"> </w:t>
      </w:r>
      <m:oMath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— это урок</w:t>
      </w:r>
      <w:r>
        <w:t xml:space="preserve"> </w:t>
      </w:r>
      <w:r>
        <w:t xml:space="preserve">воспроизводимости, а не свойство ОП</w:t>
      </w:r>
      <w:r>
        <w:t xml:space="preserve"> </w:t>
      </w:r>
      <w:r>
        <w:t xml:space="preserve">(Henderson и др. 2018 г.)</w:t>
      </w:r>
      <w:r>
        <w:t xml:space="preserve">; и всё же на 20 повторах</w:t>
      </w:r>
      <w:r>
        <w:t xml:space="preserve"> </w:t>
      </w:r>
      <w:r>
        <w:t xml:space="preserve">нормированный PPO (</w:t>
      </w:r>
      <m:oMath>
        <m:r>
          <m:t>3</m:t>
        </m:r>
        <m:r>
          <m:rPr>
            <m:sty m:val="p"/>
          </m:rPr>
          <m:t>,</m:t>
        </m:r>
        <m:r>
          <m:t>36</m:t>
        </m:r>
      </m:oMath>
      <w:r>
        <w:t xml:space="preserve">) остаётся значимо ниже эвристики, а SAC нестабилен и расходится на</w:t>
      </w:r>
      <w:r>
        <w:t xml:space="preserve"> </w:t>
      </w:r>
      <w:r>
        <w:t xml:space="preserve">10 из 20 повторов. Нейросетевое же «чёрноящичное» МПУ оказывается худшим регулятором</w:t>
      </w:r>
      <w:r>
        <w:t xml:space="preserve"> </w:t>
      </w:r>
      <w:r>
        <w:t xml:space="preserve">исследования (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09</m:t>
        </m:r>
        <m:r>
          <m:t> </m:t>
        </m:r>
        <m:sSup>
          <m:e>
            <m:r>
              <m:rPr>
                <m:nor/>
                <m:sty m:val="p"/>
              </m:rPr>
              <m:t>EUR/м</m:t>
            </m:r>
          </m:e>
          <m:sup>
            <m:r>
              <m:t>2</m:t>
            </m:r>
          </m:sup>
        </m:sSup>
      </m:oMath>
      <w:r>
        <w:t xml:space="preserve">), проигрывая любому интерпретируемому варианту SINDy.</w:t>
      </w:r>
    </w:p>
    <w:p>
      <w:pPr>
        <w:pStyle w:val="BodyText"/>
      </w:pPr>
      <w:r>
        <w:rPr>
          <w:b/>
          <w:bCs/>
        </w:rPr>
        <w:t xml:space="preserve">Онлайн-адаптация даёт нулевой эффект.</w:t>
      </w:r>
      <w:r>
        <w:t xml:space="preserve"> При весенних OOD-сдвигах (2021–2023, тот же</w:t>
      </w:r>
      <w:r>
        <w:t xml:space="preserve"> </w:t>
      </w:r>
      <w:r>
        <w:t xml:space="preserve">сезон посадки) офлайн-суррогат уже хорошо обобщается — средний EPI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, опережая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у правил при том же сдвиге, — оставляя адаптации мало «зазора». На 60 парах (сдвиг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повтор) DAgger улучшает статический офлайн-вариант лишь на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39</m:t>
        </m:r>
        <m:r>
          <m:t> </m:t>
        </m:r>
        <m:sSup>
          <m:e>
            <m:r>
              <m:rPr>
                <m:nor/>
                <m:sty m:val="p"/>
              </m:rPr>
              <m:t>EUR/м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088</m:t>
        </m:r>
      </m:oMath>
      <w:r>
        <w:t xml:space="preserve">, незначимо), а онлайн-EKF-SINDy значимо хуже (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); прежняя</w:t>
      </w:r>
      <w:r>
        <w:t xml:space="preserve"> </w:t>
      </w:r>
      <w:r>
        <w:t xml:space="preserve">меньшая выборка (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), намекавшая на значимый выигрыш DAgger, не выдерживает бо́льшего плана.</w:t>
      </w:r>
      <w:r>
        <w:t xml:space="preserve"> </w:t>
      </w:r>
      <w:r>
        <w:t xml:space="preserve">Гипотеза </w:t>
      </w:r>
      <w:r>
        <w:rPr>
          <w:b/>
          <w:bCs/>
        </w:rPr>
        <w:t xml:space="preserve">Г4а</w:t>
      </w:r>
      <w:r>
        <w:t xml:space="preserve"> </w:t>
      </w:r>
      <w:r>
        <w:t xml:space="preserve">не поддержана. Провал под сдвигом — не постепенный дрейф коэффициентов, а</w:t>
      </w:r>
      <w:r>
        <w:t xml:space="preserve"> </w:t>
      </w:r>
      <w:r>
        <w:t xml:space="preserve">проблема данных: в односезонных данных, собранных под сдвигом, факторы неразделимо смешаны</w:t>
      </w:r>
      <w:r>
        <w:t xml:space="preserve"> </w:t>
      </w:r>
      <w:r>
        <w:t xml:space="preserve">(корреляция</w:t>
      </w:r>
      <w:r>
        <w:t xml:space="preserve"> </w:t>
      </w:r>
      <m:oMath>
        <m:r>
          <m:rPr>
            <m:nor/>
            <m:sty m:val="p"/>
          </m:rPr>
          <m:t>corr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Vent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67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03</m:t>
        </m:r>
      </m:oMath>
      <w:r>
        <w:t xml:space="preserve"> </w:t>
      </w:r>
      <w:r>
        <w:t xml:space="preserve">у многолетних</w:t>
      </w:r>
      <w:r>
        <w:t xml:space="preserve"> </w:t>
      </w:r>
      <w:r>
        <w:t xml:space="preserve">офлайн-данных), так что переобучение неверно выучивает эффект вентиляции. Устойчивость под OOD</w:t>
      </w:r>
      <w:r>
        <w:t xml:space="preserve"> </w:t>
      </w:r>
      <w:r>
        <w:t xml:space="preserve">обеспечивают структура (сохранение члена котла) и защитный монитор, а не адаптация</w:t>
      </w:r>
      <w:r>
        <w:t xml:space="preserve"> </w:t>
      </w:r>
      <w:r>
        <w:t xml:space="preserve">коэффициентов.</w:t>
      </w:r>
    </w:p>
    <w:p>
      <w:pPr>
        <w:pStyle w:val="BodyText"/>
      </w:pPr>
      <w:r>
        <w:rPr>
          <w:b/>
          <w:bCs/>
        </w:rPr>
        <w:t xml:space="preserve">Безопасность и защита при выходе за пределы распределения.</w:t>
      </w:r>
      <w:r>
        <w:t xml:space="preserve"> Доказуемая ценность</w:t>
      </w:r>
      <w:r>
        <w:t xml:space="preserve"> </w:t>
      </w:r>
      <w:r>
        <w:t xml:space="preserve">прозрачного суррогата лежит в безопасности. Два его эпистемических сигнала — расстояние</w:t>
      </w:r>
      <w:r>
        <w:t xml:space="preserve"> </w:t>
      </w:r>
      <w:r>
        <w:t xml:space="preserve">Махаланобиса по экзогенным входам</w:t>
      </w:r>
      <w:r>
        <w:t xml:space="preserve"> </w:t>
      </w:r>
      <w:r>
        <w:t xml:space="preserve">(Mahalanobis 1936 г.; Lee и др. 2018 г.)</w:t>
      </w:r>
      <w:r>
        <w:t xml:space="preserve"> </w:t>
      </w:r>
      <w:r>
        <w:t xml:space="preserve">и дисперсия</w:t>
      </w:r>
      <w:r>
        <w:t xml:space="preserve"> </w:t>
      </w:r>
      <w:r>
        <w:t xml:space="preserve">предсказаний ансамбля</w:t>
      </w:r>
      <w:r>
        <w:t xml:space="preserve"> </w:t>
      </w:r>
      <w:r>
        <w:t xml:space="preserve">(Lakshminarayanan и др. 2017 г.)</w:t>
      </w:r>
      <w:r>
        <w:t xml:space="preserve"> </w:t>
      </w:r>
      <w:r>
        <w:t xml:space="preserve">— коррелируют с ошибкой и прибылью</w:t>
      </w:r>
      <w:r>
        <w:t xml:space="preserve"> </w:t>
      </w:r>
      <w:r>
        <w:t xml:space="preserve">(Махаланобис: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63</m:t>
        </m:r>
      </m:oMath>
      <w:r>
        <w:t xml:space="preserve"> </w:t>
      </w:r>
      <w:r>
        <w:t xml:space="preserve">с ошибкой прогноза,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с EPI; дисперсия ансамбля: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57</m:t>
        </m:r>
      </m:oMath>
      <w:r>
        <w:t xml:space="preserve"> </w:t>
      </w:r>
      <w:r>
        <w:t xml:space="preserve">с</w:t>
      </w:r>
      <w:r>
        <w:t xml:space="preserve"> </w:t>
      </w:r>
      <w:r>
        <w:t xml:space="preserve">EPI), а сам сигнал служит рабочим детектором шагов с высокой ошибкой (площадь под ROC-кривой</w:t>
      </w:r>
      <w:r>
        <w:t xml:space="preserve"> </w:t>
      </w:r>
      <w:r>
        <w:t xml:space="preserve">AUC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70</m:t>
        </m:r>
      </m:oMath>
      <w:r>
        <w:t xml:space="preserve">; рис. </w:t>
      </w:r>
      <w:hyperlink w:anchor="fig:gen">
        <w:r>
          <w:rPr>
            <w:rStyle w:val="Hyperlink"/>
          </w:rPr>
          <w:t xml:space="preserve">4</w:t>
        </w:r>
      </w:hyperlink>
      <w:r>
        <w:t xml:space="preserve">). Включение защитного монитора по сигналу Махаланобиса с</w:t>
      </w:r>
      <w:r>
        <w:t xml:space="preserve"> </w:t>
      </w:r>
      <w:r>
        <w:t xml:space="preserve">откатом на регулятор правил на OOD-шагах снижает сезонные нарушения с</w:t>
      </w:r>
      <w:r>
        <w:t xml:space="preserve"> </w:t>
      </w:r>
      <m:oMath>
        <m:r>
          <m:t>1723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863</m:t>
        </m:r>
      </m:oMath>
      <w:r>
        <w:t xml:space="preserve"> </w:t>
      </w:r>
      <w:r>
        <w:t xml:space="preserve">(на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), одновременно улучшая EPI (с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06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48</m:t>
        </m:r>
      </m:oMath>
      <w:r>
        <w:t xml:space="preserve">); снижение высокозначимо на</w:t>
      </w:r>
      <w:r>
        <w:t xml:space="preserve"> </w:t>
      </w:r>
      <w:r>
        <w:t xml:space="preserve">200 парах (</w:t>
      </w:r>
      <m:oMath>
        <m:r>
          <m:t>p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</m:oMath>
      <w:r>
        <w:t xml:space="preserve">). При внесённых отказах (таблица </w:t>
      </w:r>
      <w:hyperlink w:anchor="tab:e7">
        <w:r>
          <w:rPr>
            <w:rStyle w:val="Hyperlink"/>
          </w:rPr>
          <w:t xml:space="preserve">3</w:t>
        </w:r>
      </w:hyperlink>
      <w:r>
        <w:t xml:space="preserve">,</w:t>
      </w:r>
      <w:r>
        <w:t xml:space="preserve"> </w:t>
      </w:r>
      <w:r>
        <w:t xml:space="preserve">рис. </w:t>
      </w:r>
      <w:hyperlink w:anchor="fig:faults">
        <w:r>
          <w:rPr>
            <w:rStyle w:val="Hyperlink"/>
          </w:rPr>
          <w:t xml:space="preserve">5</w:t>
        </w:r>
      </w:hyperlink>
      <w:r>
        <w:t xml:space="preserve">) супервизор на невязках с тем же откатом значимо смягчает все шесть</w:t>
      </w:r>
      <w:r>
        <w:t xml:space="preserve"> </w:t>
      </w:r>
      <w:r>
        <w:t xml:space="preserve">типов отказов, снижая нарушения в среднем на</w:t>
      </w:r>
      <w:r>
        <w:t xml:space="preserve"> </w:t>
      </w:r>
      <m:oMath>
        <m:r>
          <m:t>1304</m:t>
        </m:r>
      </m:oMath>
      <w:r>
        <w:t xml:space="preserve"> шага (</w:t>
      </w:r>
      <m:oMath>
        <m:r>
          <m:t>p</m:t>
        </m:r>
        <m:r>
          <m:rPr>
            <m:sty m:val="p"/>
          </m:rPr>
          <m:t>≈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</m:oMath>
      <w:r>
        <w:t xml:space="preserve">, 120 пар).</w:t>
      </w:r>
      <w:r>
        <w:t xml:space="preserve"> </w:t>
      </w:r>
      <w:r>
        <w:t xml:space="preserve">Это сильнейший положительный результат исследования (гипотеза </w:t>
      </w:r>
      <w:r>
        <w:rPr>
          <w:b/>
          <w:bCs/>
        </w:rPr>
        <w:t xml:space="preserve">Г4б</w:t>
      </w:r>
      <w:r>
        <w:t xml:space="preserve">).</w:t>
      </w:r>
    </w:p>
    <w:bookmarkStart w:id="29" w:name="fig:gen"/>
    <w:p>
      <w:pPr>
        <w:pStyle w:val="CaptionedFigure"/>
      </w:pPr>
      <w:r>
        <w:drawing>
          <wp:inline>
            <wp:extent cx="5334000" cy="167896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e5_generaliza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Генерализация и детекция OOD. Слева — замкнутый EPI по парам «обучение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тест»</w:t>
      </w:r>
      <w:r>
        <w:t xml:space="preserve"> </w:t>
      </w:r>
      <w:r>
        <w:t xml:space="preserve">(зелёный — хорошо, красный — плохо). В центре — сигнал OOD (Махаланобис) коррелирует с ошибкой</w:t>
      </w:r>
      <w:r>
        <w:t xml:space="preserve"> </w:t>
      </w:r>
      <w:r>
        <w:t xml:space="preserve">прогноза (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63</m:t>
        </m:r>
      </m:oMath>
      <w:r>
        <w:t xml:space="preserve">). Справа — как детектор шагов с высокой ошибкой сигнал даёт AUC 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70</m:t>
        </m:r>
      </m:oMath>
      <w:r>
        <w:t xml:space="preserve">.</w:t>
      </w:r>
    </w:p>
    <w:bookmarkEnd w:id="29"/>
    <w:bookmarkStart w:id="33" w:name="fig:faults"/>
    <w:p>
      <w:pPr>
        <w:pStyle w:val="CaptionedFigure"/>
      </w:pPr>
      <w:r>
        <w:drawing>
          <wp:inline>
            <wp:extent cx="5334000" cy="277740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e7_fault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Устойчивость к отказам. Шаги-нарушения при шести внесённых отказах датчиков и</w:t>
      </w:r>
      <w:r>
        <w:t xml:space="preserve"> </w:t>
      </w:r>
      <w:r>
        <w:t xml:space="preserve">механизмов без (синий) и с (оранжевый) супервизором на невязках, против бездефектного эталона</w:t>
      </w:r>
      <w:r>
        <w:t xml:space="preserve"> </w:t>
      </w:r>
      <w:r>
        <w:t xml:space="preserve">(пунктир). Супервизор значимо снижает нарушения при каждом отказе.</w:t>
      </w:r>
    </w:p>
    <w:bookmarkEnd w:id="33"/>
    <w:bookmarkStart w:id="34" w:name="tab:e7"/>
    <w:p>
      <w:pPr>
        <w:pStyle w:val="TableCaption"/>
      </w:pPr>
      <w:r>
        <w:t xml:space="preserve">Внесение отказов: EPI и шаги-нарушения без и с супервизором; бездефектный эталон</w:t>
      </w:r>
      <w:r>
        <w:t xml:space="preserve"> </w:t>
      </w:r>
      <w:r>
        <w:t xml:space="preserve">EPI </w:t>
      </w:r>
      <m:oMath>
        <m:r>
          <m:t>1</m:t>
        </m:r>
        <m:r>
          <m:rPr>
            <m:sty m:val="p"/>
          </m:rPr>
          <m:t>,</m:t>
        </m:r>
        <m:r>
          <m:t>94</m:t>
        </m:r>
      </m:oMath>
      <w:r>
        <w:t xml:space="preserve">, нарушения </w:t>
      </w:r>
      <m:oMath>
        <m:r>
          <m:t>2587</m:t>
        </m:r>
      </m:oMath>
      <w:r>
        <w:t xml:space="preserve">. Супервизор снижает нарушения при всех шести отказах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≈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</m:oMath>
      <w:r>
        <w:t xml:space="preserve"> </w:t>
      </w:r>
      <w:r>
        <w:t xml:space="preserve">в целом).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Внесение отказов: EPI и шаги-нарушения без и с супервизором; бездефектный эталон EPI 1{,}94, нарушения 2587. Супервизор снижает нарушения при всех шести отказах (p\approx6\times10^{-21} в целом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Отказ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EPI (без)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Наруш. (без)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EPI (с)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Наруш. (с)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oMath>
            <w:r>
              <w:t xml:space="preserve"> </w:t>
            </w:r>
            <w:r>
              <w:t xml:space="preserve">залипание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 смещение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Vent</m:t>
                  </m:r>
                </m:sub>
              </m:sSub>
            </m:oMath>
            <w:r>
              <w:t xml:space="preserve"> </w:t>
            </w:r>
            <w:r>
              <w:t xml:space="preserve">отказ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oMath>
            <w:r>
              <w:t xml:space="preserve"> </w:t>
            </w:r>
            <w:r>
              <w:t xml:space="preserve">смещение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Lamp</m:t>
                  </m:r>
                </m:sub>
              </m:sSub>
            </m:oMath>
            <w:r>
              <w:t xml:space="preserve"> </w:t>
            </w:r>
            <w:r>
              <w:t xml:space="preserve">отказ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Boil</m:t>
                  </m:r>
                </m:sub>
              </m:sSub>
            </m:oMath>
            <w:r>
              <w:t xml:space="preserve"> </w:t>
            </w:r>
            <w:r>
              <w:t xml:space="preserve">залипание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1208</w:t>
            </w:r>
          </w:p>
        </w:tc>
      </w:tr>
    </w:tbl>
    <w:bookmarkEnd w:id="34"/>
    <w:p>
      <w:pPr>
        <w:pStyle w:val="BodyText"/>
      </w:pPr>
      <w:r>
        <w:rPr>
          <w:b/>
          <w:bCs/>
        </w:rPr>
        <w:t xml:space="preserve">Устойчивость ранжирования.</w:t>
      </w:r>
      <w:r>
        <w:t xml:space="preserve"> Анализ чувствительности (рис. </w:t>
      </w:r>
      <w:hyperlink w:anchor="fig:tornado">
        <w:r>
          <w:rPr>
            <w:rStyle w:val="Hyperlink"/>
          </w:rPr>
          <w:t xml:space="preserve">6</w:t>
        </w:r>
      </w:hyperlink>
      <w:r>
        <w:t xml:space="preserve">) показывает,</w:t>
      </w:r>
      <w:r>
        <w:t xml:space="preserve"> </w:t>
      </w:r>
      <w:r>
        <w:t xml:space="preserve">что ранжирование определяется ценами сильнее, чем проектными решениями: размах EPI от цены</w:t>
      </w:r>
      <w:r>
        <w:t xml:space="preserve"> </w:t>
      </w:r>
      <w:r>
        <w:t xml:space="preserve">плода (</w:t>
      </w:r>
      <m:oMath>
        <m:r>
          <m:t>19</m:t>
        </m:r>
        <m:r>
          <m:rPr>
            <m:sty m:val="p"/>
          </m:rPr>
          <m:t>,</m:t>
        </m:r>
        <m:r>
          <m:t>7</m:t>
        </m:r>
      </m:oMath>
      <w:r>
        <w:t xml:space="preserve">) и цены энергии (</w:t>
      </w:r>
      <m:oMath>
        <m:r>
          <m:t>13</m:t>
        </m:r>
        <m:r>
          <m:rPr>
            <m:sty m:val="p"/>
          </m:rPr>
          <m:t>,</m:t>
        </m:r>
        <m:r>
          <m:t>3</m:t>
        </m:r>
        <m:r>
          <m:t> </m:t>
        </m:r>
        <m:sSup>
          <m:e>
            <m:r>
              <m:rPr>
                <m:nor/>
                <m:sty m:val="p"/>
              </m:rPr>
              <m:t>EUR/м</m:t>
            </m:r>
          </m:e>
          <m:sup>
            <m:r>
              <m:t>2</m:t>
            </m:r>
          </m:sup>
        </m:sSup>
      </m:oMath>
      <w:r>
        <w:t xml:space="preserve">) многократно превосходит размах от</w:t>
      </w:r>
      <w:r>
        <w:t xml:space="preserve"> </w:t>
      </w:r>
      <w:r>
        <w:t xml:space="preserve">неопределённости параметров растения (</w:t>
      </w:r>
      <m:oMath>
        <m:r>
          <m:t>2</m:t>
        </m:r>
        <m:r>
          <m:rPr>
            <m:sty m:val="p"/>
          </m:rPr>
          <m:t>,</m:t>
        </m:r>
        <m:r>
          <m:t>7</m:t>
        </m:r>
      </m:oMath>
      <w:r>
        <w:t xml:space="preserve">), порога разреженности (</w:t>
      </w:r>
      <m:oMath>
        <m:r>
          <m:t>1</m:t>
        </m:r>
        <m:r>
          <m:rPr>
            <m:sty m:val="p"/>
          </m:rPr>
          <m:t>,</m:t>
        </m:r>
        <m:r>
          <m:t>3</m:t>
        </m:r>
      </m:oMath>
      <w:r>
        <w:t xml:space="preserve">) и горизонта МПУ</w:t>
      </w:r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). Ранжирование неустойчиво к цене энергии: при дорогой энергии экономная модель</w:t>
      </w:r>
      <w:r>
        <w:t xml:space="preserve"> </w:t>
      </w:r>
      <w:r>
        <w:t xml:space="preserve">«серого ящика» обгоняет энергоёмкую эвристику. Следовательно, ранжирование по одному скаляру</w:t>
      </w:r>
      <w:r>
        <w:t xml:space="preserve"> </w:t>
      </w:r>
      <w:r>
        <w:t xml:space="preserve">ненадёжно, и предпочтительным является представление в виде структуры Парето.</w:t>
      </w:r>
    </w:p>
    <w:bookmarkStart w:id="38" w:name="fig:tornado"/>
    <w:p>
      <w:pPr>
        <w:pStyle w:val="CaptionedFigure"/>
      </w:pPr>
      <w:r>
        <w:drawing>
          <wp:inline>
            <wp:extent cx="5334000" cy="2163404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e6_sensitivit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3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чувствительности. Размах EPI определяется ценами (плод, энергия) сильнее</w:t>
      </w:r>
      <w:r>
        <w:t xml:space="preserve"> </w:t>
      </w:r>
      <w:r>
        <w:t xml:space="preserve">проектных решений (неопределённость растения, порог разреженности, горизонт); ранжирование</w:t>
      </w:r>
      <w:r>
        <w:t xml:space="preserve"> </w:t>
      </w:r>
      <w:r>
        <w:t xml:space="preserve">неустойчиво к цене энергии.</w:t>
      </w:r>
    </w:p>
    <w:bookmarkEnd w:id="38"/>
    <w:bookmarkEnd w:id="39"/>
    <w:bookmarkStart w:id="40" w:name="sec:discussion"/>
    <w:p>
      <w:pPr>
        <w:pStyle w:val="Heading1"/>
      </w:pPr>
      <w:r>
        <w:t xml:space="preserve">Обсуждение</w:t>
      </w:r>
    </w:p>
    <w:p>
      <w:pPr>
        <w:pStyle w:val="FirstParagraph"/>
      </w:pPr>
      <w:r>
        <w:rPr>
          <w:b/>
          <w:bCs/>
        </w:rPr>
        <w:t xml:space="preserve">Отбор суррогата для управления.</w:t>
      </w:r>
      <w:r>
        <w:t xml:space="preserve"> Центральный урок носит процедурный характер.</w:t>
      </w:r>
      <w:r>
        <w:t xml:space="preserve"> </w:t>
      </w:r>
      <w:r>
        <w:t xml:space="preserve">Предрегистрация заморозила рецепт по разомкнутым метрикам, чтобы избежать цикличности, и тем</w:t>
      </w:r>
      <w:r>
        <w:t xml:space="preserve"> </w:t>
      </w:r>
      <w:r>
        <w:t xml:space="preserve">самым выбрала модель, проваливающуюся в контуре, поскольку эта метрика нечувствительна к</w:t>
      </w:r>
      <w:r>
        <w:t xml:space="preserve"> </w:t>
      </w:r>
      <w:r>
        <w:t xml:space="preserve">следствию в замкнутом контуре. Это довод не против предрегистрации, а против предрегистрации</w:t>
      </w:r>
      <w:r>
        <w:t xml:space="preserve"> </w:t>
      </w:r>
      <w:r>
        <w:t xml:space="preserve">неверного критерия. Отсюда две поправки. Разреженность не должна входить в цели отбора модели</w:t>
      </w:r>
      <w:r>
        <w:t xml:space="preserve"> </w:t>
      </w:r>
      <w:r>
        <w:t xml:space="preserve">для управления в замкнутом контуре: член с малым коэффициентом может быть динамически</w:t>
      </w:r>
      <w:r>
        <w:t xml:space="preserve"> </w:t>
      </w:r>
      <w:r>
        <w:t xml:space="preserve">пренебрежим для прогноза, но контроль-критичен; уместны отбор, ориентированный на управление</w:t>
      </w:r>
      <w:r>
        <w:t xml:space="preserve"> </w:t>
      </w:r>
      <w:r>
        <w:t xml:space="preserve">или на ценность</w:t>
      </w:r>
      <w:r>
        <w:t xml:space="preserve"> </w:t>
      </w:r>
      <w:r>
        <w:t xml:space="preserve">(Farahmand и др. 2017 г.; Jackson и др. 2022 г.)</w:t>
      </w:r>
      <w:r>
        <w:t xml:space="preserve">, проверка с включённым замкнутым</w:t>
      </w:r>
      <w:r>
        <w:t xml:space="preserve"> </w:t>
      </w:r>
      <w:r>
        <w:t xml:space="preserve">контуром либо оптимизаторы, защищающие малые важные члены</w:t>
      </w:r>
      <w:r>
        <w:t xml:space="preserve"> </w:t>
      </w:r>
      <w:r>
        <w:t xml:space="preserve">(Dang и др. 2026 г.; Cortiella и др. 2021 г.)</w:t>
      </w:r>
      <w:r>
        <w:t xml:space="preserve">. Критерий прозрачности, в свою очередь, неполон:</w:t>
      </w:r>
      <w:r>
        <w:t xml:space="preserve"> </w:t>
      </w:r>
      <w:r>
        <w:t xml:space="preserve">критерий, удостоверяющий модель, в которой обнулён единственный орган нагрева, не проверяет</w:t>
      </w:r>
      <w:r>
        <w:t xml:space="preserve"> </w:t>
      </w:r>
      <w:r>
        <w:t xml:space="preserve">прозрачность в смысле, релевантном управлению; выпадение ключевого механизма, обнаружимое</w:t>
      </w:r>
      <w:r>
        <w:t xml:space="preserve"> </w:t>
      </w:r>
      <w:r>
        <w:t xml:space="preserve">сверкой со структурой управления, должно означать провал критерия.</w:t>
      </w:r>
    </w:p>
    <w:p>
      <w:pPr>
        <w:pStyle w:val="BodyText"/>
      </w:pPr>
      <w:r>
        <w:rPr>
          <w:b/>
          <w:bCs/>
        </w:rPr>
        <w:t xml:space="preserve">Экономность и интерпретируемость.</w:t>
      </w:r>
      <w:r>
        <w:t xml:space="preserve"> Отрицательный результат можно было бы истолковать как</w:t>
      </w:r>
      <w:r>
        <w:t xml:space="preserve"> </w:t>
      </w:r>
      <w:r>
        <w:t xml:space="preserve">«цену прозрачности», однако это неверно. Починка, возвращающая качество (восстановление члена</w:t>
      </w:r>
      <w:r>
        <w:t xml:space="preserve"> </w:t>
      </w:r>
      <w:r>
        <w:t xml:space="preserve">котла), не жертвует прозрачностью: плотная модель — то же отображение «белого ящика», лишь менее</w:t>
      </w:r>
      <w:r>
        <w:t xml:space="preserve"> </w:t>
      </w:r>
      <w:r>
        <w:t xml:space="preserve">экономное. Показательно, что оно совпадает с моделью «серого ящика» в пределах шума (</w:t>
      </w:r>
      <m:oMath>
        <m:r>
          <m:t>3</m:t>
        </m:r>
        <m:r>
          <m:rPr>
            <m:sty m:val="p"/>
          </m:rPr>
          <m:t>,</m:t>
        </m:r>
        <m:r>
          <m:t>81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79</m:t>
        </m:r>
      </m:oMath>
      <w:r>
        <w:t xml:space="preserve">): как только пере-разреживание устранено, суррогат схлопывается в физическую</w:t>
      </w:r>
      <w:r>
        <w:t xml:space="preserve"> </w:t>
      </w:r>
      <w:r>
        <w:t xml:space="preserve">модель, которую замещает. Разреженность разрушила не точность и не интерпретируемость, а</w:t>
      </w:r>
      <w:r>
        <w:t xml:space="preserve"> </w:t>
      </w:r>
      <w:r>
        <w:t xml:space="preserve">управляемость. Оптимизация экономности во имя интерпретируемости способна незаметно сломать</w:t>
      </w:r>
      <w:r>
        <w:t xml:space="preserve"> </w:t>
      </w:r>
      <w:r>
        <w:t xml:space="preserve">управление.</w:t>
      </w:r>
    </w:p>
    <w:p>
      <w:pPr>
        <w:pStyle w:val="BodyText"/>
      </w:pPr>
      <w:r>
        <w:rPr>
          <w:b/>
          <w:bCs/>
        </w:rPr>
        <w:t xml:space="preserve">Сила настроенной эвристики.</w:t>
      </w:r>
      <w:r>
        <w:t xml:space="preserve"> Сила эвристики и перерасход оракула имеют общий корень.</w:t>
      </w:r>
      <w:r>
        <w:t xml:space="preserve"> </w:t>
      </w:r>
      <w:r>
        <w:t xml:space="preserve">Сезонная прибыль определяется приростом плода за дни и недели, тогда как экономическое МПУ на</w:t>
      </w:r>
      <w:r>
        <w:t xml:space="preserve"> </w:t>
      </w:r>
      <w:r>
        <w:t xml:space="preserve">скользящем горизонте в несколько часов оптимизирует ближайшую прибыль и жадно урезает нагрев и</w:t>
      </w:r>
      <w:r>
        <w:t xml:space="preserve"> </w:t>
      </w:r>
      <w:r>
        <w:t xml:space="preserve">CO</w:t>
      </w:r>
      <w:r>
        <w:rPr>
          <w:vertAlign w:val="subscript"/>
        </w:rPr>
        <w:t xml:space="preserve">2</w:t>
      </w:r>
      <w:r>
        <w:t xml:space="preserve">, которые окупились бы позже. Хорошо настроенный набор правил неявно кодирует</w:t>
      </w:r>
      <w:r>
        <w:t xml:space="preserve"> </w:t>
      </w:r>
      <w:r>
        <w:t xml:space="preserve">те многодневные компромиссы, которых короткогоризонтный оптимизатор не видит. Продуктивный путь</w:t>
      </w:r>
      <w:r>
        <w:t xml:space="preserve"> </w:t>
      </w:r>
      <w:r>
        <w:t xml:space="preserve">к превосходству над сильными эвристиками — не лучший короткогоризонтный суррогат, а</w:t>
      </w:r>
      <w:r>
        <w:t xml:space="preserve"> </w:t>
      </w:r>
      <w:r>
        <w:t xml:space="preserve">по-настоящему длинногоризонтная экономическая постановка: терминальная функция ценности по</w:t>
      </w:r>
      <w:r>
        <w:t xml:space="preserve"> </w:t>
      </w:r>
      <w:r>
        <w:t xml:space="preserve">состоянию растения либо градиентный многодневный оптимизатор; это выделяется как ключевая</w:t>
      </w:r>
      <w:r>
        <w:t xml:space="preserve"> </w:t>
      </w:r>
      <w:r>
        <w:t xml:space="preserve">открытая проблема.</w:t>
      </w:r>
    </w:p>
    <w:p>
      <w:pPr>
        <w:pStyle w:val="BodyText"/>
      </w:pPr>
      <w:r>
        <w:rPr>
          <w:b/>
          <w:bCs/>
        </w:rPr>
        <w:t xml:space="preserve">Обобщение и ограничения.</w:t>
      </w:r>
      <w:r>
        <w:t xml:space="preserve"> Механизм не специфичен для тепличного дела: любой конвейер,</w:t>
      </w:r>
      <w:r>
        <w:t xml:space="preserve"> </w:t>
      </w:r>
      <w:r>
        <w:t xml:space="preserve">который идентифицирует разреженный суррогат, выбирает разреженность по прогноз-ориентированным</w:t>
      </w:r>
      <w:r>
        <w:t xml:space="preserve"> </w:t>
      </w:r>
      <w:r>
        <w:t xml:space="preserve">критериям и встраивает его в регулятор, подвержен тому же провалу; теплица лишь делает провал</w:t>
      </w:r>
      <w:r>
        <w:t xml:space="preserve"> </w:t>
      </w:r>
      <w:r>
        <w:t xml:space="preserve">наглядным, поскольку выпавший член — именованный исполнительный механизм, чей коэффициент можно</w:t>
      </w:r>
      <w:r>
        <w:t xml:space="preserve"> </w:t>
      </w:r>
      <w:r>
        <w:t xml:space="preserve">наблюдать отслеживающим прибыль. Полученные утверждения вычислительны (in silico) и не</w:t>
      </w:r>
      <w:r>
        <w:t xml:space="preserve"> </w:t>
      </w:r>
      <w:r>
        <w:t xml:space="preserve">переносятся на физическую теплицу без отдельной валидации. Головной результат E3 использует один</w:t>
      </w:r>
      <w:r>
        <w:t xml:space="preserve"> </w:t>
      </w:r>
      <w:r>
        <w:t xml:space="preserve">тестовый сезон, поэтому у детерминированных регуляторов нулевая дисперсия по тестовой погоде, а</w:t>
      </w:r>
      <w:r>
        <w:t xml:space="preserve"> </w:t>
      </w:r>
      <w:r>
        <w:t xml:space="preserve">приводимая дисперсия отражает лишь переидентификацию суррогата; для полной характеризации</w:t>
      </w:r>
      <w:r>
        <w:t xml:space="preserve"> </w:t>
      </w:r>
      <w:r>
        <w:t xml:space="preserve">дисперсии нужно многосезонное экономическое сопоставление. Паритет с DAgger достигается ценой</w:t>
      </w:r>
      <w:r>
        <w:t xml:space="preserve"> </w:t>
      </w:r>
      <w:r>
        <w:t xml:space="preserve">дополнительного бюджета данных замкнутого контура (три итерации агрегации по пять суток). Оракул —</w:t>
      </w:r>
      <w:r>
        <w:t xml:space="preserve"> </w:t>
      </w:r>
      <w:r>
        <w:t xml:space="preserve">короткогоризонтный CEM, а не потолок. Наконец, SAC сошёлся лишь на</w:t>
      </w:r>
      <w:r>
        <w:t xml:space="preserve"> </w:t>
      </w:r>
      <w:r>
        <w:t xml:space="preserve">10 из 20 повторов и приводится как наблюдение об устойчивости, а не как настроенный конкурент.</w:t>
      </w:r>
    </w:p>
    <w:bookmarkEnd w:id="40"/>
    <w:bookmarkStart w:id="41" w:name="sec:conclusions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Цена интерпретируемости для МПУ на разреженной идентификации в управлении микроклиматом теплицы</w:t>
      </w:r>
      <w:r>
        <w:t xml:space="preserve"> </w:t>
      </w:r>
      <w:r>
        <w:t xml:space="preserve">измерена при протоколе, спроектированном честным: экономическая прибыль из симулятора как</w:t>
      </w:r>
      <w:r>
        <w:t xml:space="preserve"> </w:t>
      </w:r>
      <w:r>
        <w:t xml:space="preserve">метрика, настроенный эталон на правилах, честно нормированное ОП, равный бюджет гиперпараметров и</w:t>
      </w:r>
      <w:r>
        <w:t xml:space="preserve"> </w:t>
      </w:r>
      <w:r>
        <w:t xml:space="preserve">рецепт, замороженный предрегистрацией. Предрегистрированное утверждение — что SINDy-MPC</w:t>
      </w:r>
      <w:r>
        <w:t xml:space="preserve"> </w:t>
      </w:r>
      <w:r>
        <w:t xml:space="preserve">парето-конкурентоспособно при малой цене прозрачности — не подтвердилось; основной результат</w:t>
      </w:r>
      <w:r>
        <w:t xml:space="preserve"> </w:t>
      </w:r>
      <w:r>
        <w:t xml:space="preserve">состоит в вскрытом механизме. Настроенная эвристика — сильный экономический эталон, и</w:t>
      </w:r>
      <w:r>
        <w:t xml:space="preserve"> </w:t>
      </w:r>
      <w:r>
        <w:t xml:space="preserve">единственный интерпретируемый регулятор, дотягивающий до неё, достигает этого через починку,</w:t>
      </w:r>
      <w:r>
        <w:t xml:space="preserve"> </w:t>
      </w:r>
      <w:r>
        <w:t xml:space="preserve">вызванную конкретным переносимым провалом: порог STLSQ удаляет контроль-критичный член котла,</w:t>
      </w:r>
      <w:r>
        <w:t xml:space="preserve"> </w:t>
      </w:r>
      <w:r>
        <w:t xml:space="preserve">обрушивая замкнутую прибыль при неизменной разомкнутой ошибке, так что разомкнутая</w:t>
      </w:r>
      <w:r>
        <w:t xml:space="preserve"> </w:t>
      </w:r>
      <w:r>
        <w:t xml:space="preserve">предрегистрированная процедура систематически удостоверяет катастрофичную для управления модель.</w:t>
      </w:r>
      <w:r>
        <w:t xml:space="preserve"> </w:t>
      </w:r>
      <w:r>
        <w:t xml:space="preserve">Сравнение с дополнительными регуляторами исключает интуитивные альтернативы: оракул по истинной</w:t>
      </w:r>
      <w:r>
        <w:t xml:space="preserve"> </w:t>
      </w:r>
      <w:r>
        <w:t xml:space="preserve">модели перерасходует и не является потолком, нормированный PPO улучшается, но не выигрывает, а</w:t>
      </w:r>
      <w:r>
        <w:t xml:space="preserve"> </w:t>
      </w:r>
      <w:r>
        <w:t xml:space="preserve">«чёрноящичный» NN-MPC оказывается худшим. Ценность прозрачного суррогата реальна, но лежит не в</w:t>
      </w:r>
      <w:r>
        <w:t xml:space="preserve"> </w:t>
      </w:r>
      <w:r>
        <w:t xml:space="preserve">EPI: защитный монитор OOD вдвое снижает нарушения, улучшая прибыль, а супервизор отказов смягчает</w:t>
      </w:r>
      <w:r>
        <w:t xml:space="preserve"> </w:t>
      </w:r>
      <w:r>
        <w:t xml:space="preserve">шесть типов отказов. Экономность модели не тождественна её интерпретируемости, и разреженность</w:t>
      </w:r>
      <w:r>
        <w:t xml:space="preserve"> </w:t>
      </w:r>
      <w:r>
        <w:t xml:space="preserve">не входит в число целей отбора модели, когда конечной задачей является управление в замкнутом</w:t>
      </w:r>
      <w:r>
        <w:t xml:space="preserve"> </w:t>
      </w:r>
      <w:r>
        <w:t xml:space="preserve">контуре. Дальнейшая работа состоит в поиске настоящего экономического потолка —</w:t>
      </w:r>
      <w:r>
        <w:t xml:space="preserve"> </w:t>
      </w:r>
      <w:r>
        <w:t xml:space="preserve">длинногоризонтного либо терминально-ценностного регулятора, учитывающего многодневную динамику</w:t>
      </w:r>
      <w:r>
        <w:t xml:space="preserve"> </w:t>
      </w:r>
      <w:r>
        <w:t xml:space="preserve">плода, — в отборе рецепта, ориентированном на управление и защищённом от ловушки разреженности, и</w:t>
      </w:r>
      <w:r>
        <w:t xml:space="preserve"> </w:t>
      </w:r>
      <w:r>
        <w:t xml:space="preserve">в валидации «модель–реальность» (sim-to-real).</w:t>
      </w:r>
    </w:p>
    <w:bookmarkEnd w:id="41"/>
    <w:bookmarkStart w:id="98" w:name="воспроизводимость"/>
    <w:p>
      <w:pPr>
        <w:pStyle w:val="Heading1"/>
      </w:pPr>
      <w:r>
        <w:t xml:space="preserve">Воспроизводимость</w:t>
      </w:r>
    </w:p>
    <w:p>
      <w:pPr>
        <w:pStyle w:val="FirstParagraph"/>
      </w:pPr>
      <w:r>
        <w:t xml:space="preserve">Все эксперименты реализованы воспроизводимыми сценариями с фиксированной инициализацией.</w:t>
      </w:r>
      <w:r>
        <w:t xml:space="preserve"> </w:t>
      </w:r>
      <w:r>
        <w:t xml:space="preserve">Публикуются реализации регуляторов, предрегистрированный замороженный рецепт, распределённые</w:t>
      </w:r>
      <w:r>
        <w:t xml:space="preserve"> </w:t>
      </w:r>
      <w:r>
        <w:t xml:space="preserve">сценарии запуска и сборки результатов для 20 повторов и анализ, порождающий каждую таблицу и</w:t>
      </w:r>
      <w:r>
        <w:t xml:space="preserve"> </w:t>
      </w:r>
      <w:r>
        <w:t xml:space="preserve">рисунок. EPI считывается из модели</w:t>
      </w:r>
      <w:r>
        <w:t xml:space="preserve"> </w:t>
      </w:r>
      <w:r>
        <w:t xml:space="preserve">вознаграждения симулятора, а его пошаговая экономика поэлементно поверена против цели оракула.</w:t>
      </w:r>
    </w:p>
    <w:bookmarkStart w:id="97" w:name="refs"/>
    <w:bookmarkStart w:id="42" w:name="ref-adaptiverobust2025greenhouse"/>
    <w:p>
      <w:pPr>
        <w:pStyle w:val="Bibliography"/>
      </w:pPr>
      <w:r>
        <w:t xml:space="preserve">. 2025 г.</w:t>
      </w:r>
      <w:r>
        <w:t xml:space="preserve"> </w:t>
      </w:r>
      <w:r>
        <w:t xml:space="preserve">«Adaptive robust greenhouse climate control: Combining deep reinforcement learning and economic optimization»</w:t>
      </w:r>
      <w:r>
        <w:t xml:space="preserve">.</w:t>
      </w:r>
      <w:r>
        <w:t xml:space="preserve"> </w:t>
      </w:r>
      <w:r>
        <w:rPr>
          <w:i/>
          <w:iCs/>
        </w:rPr>
        <w:t xml:space="preserve">Smart Agricultural Technology</w:t>
      </w:r>
      <w:r>
        <w:t xml:space="preserve">.</w:t>
      </w:r>
    </w:p>
    <w:bookmarkEnd w:id="42"/>
    <w:bookmarkStart w:id="43" w:name="ref-brunton2016sindy"/>
    <w:p>
      <w:pPr>
        <w:pStyle w:val="Bibliography"/>
      </w:pPr>
      <w:r>
        <w:t xml:space="preserve">Brunton, Steven L., Joshua L. Proctor, и J. Nathan Kutz. 2016 г.a.</w:t>
      </w:r>
      <w:r>
        <w:t xml:space="preserve"> </w:t>
      </w:r>
      <w:r>
        <w:t xml:space="preserve">«Discovering governing equations from data by sparse identification of nonlinear dynamical systems»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113 (15): 3932–37.</w:t>
      </w:r>
    </w:p>
    <w:bookmarkEnd w:id="43"/>
    <w:bookmarkStart w:id="44" w:name="ref-brunton2016sindyc"/>
    <w:p>
      <w:pPr>
        <w:pStyle w:val="Bibliography"/>
      </w:pPr>
      <w:r>
        <w:t xml:space="preserve">Brunton, Steven L., Joshua L. Proctor, и J. Nathan Kutz. 2016 г.b.</w:t>
      </w:r>
      <w:r>
        <w:t xml:space="preserve"> </w:t>
      </w:r>
      <w:r>
        <w:t xml:space="preserve">«Sparse identification of nonlinear dynamics with control (</w:t>
      </w:r>
      <w:r>
        <w:t xml:space="preserve">SINDYc</w:t>
      </w:r>
      <w:r>
        <w:t xml:space="preserve">)»</w:t>
      </w:r>
      <w:r>
        <w:t xml:space="preserve">.</w:t>
      </w:r>
      <w:r>
        <w:t xml:space="preserve"> </w:t>
      </w:r>
      <w:r>
        <w:rPr>
          <w:i/>
          <w:iCs/>
        </w:rPr>
        <w:t xml:space="preserve">IFAC-PapersOnLine (NOLCOS)</w:t>
      </w:r>
      <w:r>
        <w:t xml:space="preserve"> </w:t>
      </w:r>
      <w:r>
        <w:t xml:space="preserve">49: 710–15.</w:t>
      </w:r>
    </w:p>
    <w:bookmarkEnd w:id="44"/>
    <w:bookmarkStart w:id="45" w:name="ref-champion2020sr3"/>
    <w:p>
      <w:pPr>
        <w:pStyle w:val="Bibliography"/>
      </w:pPr>
      <w:r>
        <w:t xml:space="preserve">Champion, Kathleen, Peng Zheng, Aleksandr Y. Aravkin, Steven L. Brunton, и J. Nathan Kutz. 2020 г.</w:t>
      </w:r>
      <w:r>
        <w:t xml:space="preserve"> </w:t>
      </w:r>
      <w:r>
        <w:t xml:space="preserve">«A unified sparse optimization framework to learn parsimonious physics-informed models from data»</w:t>
      </w:r>
      <w:r>
        <w:t xml:space="preserve">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 </w:t>
      </w:r>
      <w:r>
        <w:t xml:space="preserve">8: 169259–71.</w:t>
      </w:r>
    </w:p>
    <w:bookmarkEnd w:id="45"/>
    <w:bookmarkStart w:id="46" w:name="ref-chenyou2020ddrmpc"/>
    <w:p>
      <w:pPr>
        <w:pStyle w:val="Bibliography"/>
      </w:pPr>
      <w:r>
        <w:t xml:space="preserve">Chen, Wan-Hui, и Fengqi You. 2020 г.</w:t>
      </w:r>
      <w:r>
        <w:t xml:space="preserve"> </w:t>
      </w:r>
      <w:r>
        <w:t xml:space="preserve">«Data-driven robust model predictive control framework for greenhouse climate control»</w:t>
      </w:r>
      <w:r>
        <w:t xml:space="preserve">.</w:t>
      </w:r>
      <w:r>
        <w:t xml:space="preserve"> </w:t>
      </w:r>
      <w:r>
        <w:rPr>
          <w:i/>
          <w:iCs/>
        </w:rPr>
        <w:t xml:space="preserve">Chemical Engineering Transactions / Control Engineering Practice</w:t>
      </w:r>
      <w:r>
        <w:t xml:space="preserve">.</w:t>
      </w:r>
    </w:p>
    <w:bookmarkEnd w:id="46"/>
    <w:bookmarkStart w:id="47" w:name="ref-cortiella2021sparse"/>
    <w:p>
      <w:pPr>
        <w:pStyle w:val="Bibliography"/>
      </w:pPr>
      <w:r>
        <w:t xml:space="preserve">Cortiella, Alexandre, Kwang-Chun Park, и Alireza Doostan. 2021 г.</w:t>
      </w:r>
      <w:r>
        <w:t xml:space="preserve"> </w:t>
      </w:r>
      <w:r>
        <w:t xml:space="preserve">«Sparse identification of nonlinear dynamical systems via reweighted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-regularized least squares»</w:t>
      </w:r>
      <w:r>
        <w:t xml:space="preserve">.</w:t>
      </w:r>
      <w:r>
        <w:t xml:space="preserve"> </w:t>
      </w:r>
      <w:r>
        <w:rPr>
          <w:i/>
          <w:iCs/>
        </w:rPr>
        <w:t xml:space="preserve">Computer Methods in Applied Mechanics and Engineering</w:t>
      </w:r>
      <w:r>
        <w:t xml:space="preserve"> </w:t>
      </w:r>
      <w:r>
        <w:t xml:space="preserve">376: 113620.</w:t>
      </w:r>
    </w:p>
    <w:bookmarkEnd w:id="47"/>
    <w:bookmarkStart w:id="49" w:name="ref-balanceguided2026"/>
    <w:p>
      <w:pPr>
        <w:pStyle w:val="Bibliography"/>
      </w:pPr>
      <w:r>
        <w:t xml:space="preserve">Dang, Zhenhua, Lei Zhang, Long Wang, и Guowei He. 2026 г.</w:t>
      </w:r>
      <w:r>
        <w:t xml:space="preserve"> </w:t>
      </w:r>
      <w:r>
        <w:rPr>
          <w:i/>
          <w:iCs/>
        </w:rPr>
        <w:t xml:space="preserve">Balance-guided sparse identification of multiscale nonlinear</w:t>
      </w:r>
      <w:r>
        <w:rPr>
          <w:i/>
          <w:iCs/>
        </w:rPr>
        <w:t xml:space="preserve"> </w:t>
      </w:r>
      <w:r>
        <w:rPr>
          <w:i/>
          <w:iCs/>
        </w:rPr>
        <w:t xml:space="preserve">PDEs</w:t>
      </w:r>
      <w:r>
        <w:rPr>
          <w:i/>
          <w:iCs/>
        </w:rPr>
        <w:t xml:space="preserve"> </w:t>
      </w:r>
      <w:r>
        <w:rPr>
          <w:i/>
          <w:iCs/>
        </w:rPr>
        <w:t xml:space="preserve">with small-coefficient terms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https://arxiv.org/abs/2604.18414</w:t>
        </w:r>
      </w:hyperlink>
      <w:r>
        <w:t xml:space="preserve">.</w:t>
      </w:r>
    </w:p>
    <w:bookmarkEnd w:id="49"/>
    <w:bookmarkStart w:id="50" w:name="ref-demsar2006"/>
    <w:p>
      <w:pPr>
        <w:pStyle w:val="Bibliography"/>
      </w:pPr>
      <w:r>
        <w:t xml:space="preserve">Demšar, Janez. 2006 г.</w:t>
      </w:r>
      <w:r>
        <w:t xml:space="preserve"> </w:t>
      </w:r>
      <w:r>
        <w:t xml:space="preserve">«Statistical comparisons of classifiers over multiple data sets»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7: 1–30.</w:t>
      </w:r>
    </w:p>
    <w:bookmarkEnd w:id="50"/>
    <w:bookmarkStart w:id="51" w:name="ref-efron1994bootstrap"/>
    <w:p>
      <w:pPr>
        <w:pStyle w:val="Bibliography"/>
      </w:pPr>
      <w:r>
        <w:t xml:space="preserve">Efron, Bradley, и Robert J. Tibshirani. 1994 г.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Chapman &amp; Hall/CRC.</w:t>
      </w:r>
    </w:p>
    <w:bookmarkEnd w:id="51"/>
    <w:bookmarkStart w:id="53" w:name="ref-espin2024deepmpc"/>
    <w:p>
      <w:pPr>
        <w:pStyle w:val="Bibliography"/>
      </w:pPr>
      <w:r>
        <w:t xml:space="preserve">Espin, Jorge, Dong Zhang, Daniele Toti, и Andrea Pozzi. 2024 г.</w:t>
      </w:r>
      <w:r>
        <w:t xml:space="preserve"> </w:t>
      </w:r>
      <w:r>
        <w:rPr>
          <w:i/>
          <w:iCs/>
        </w:rPr>
        <w:t xml:space="preserve">Deep-</w:t>
      </w:r>
      <w:r>
        <w:rPr>
          <w:i/>
          <w:iCs/>
        </w:rPr>
        <w:t xml:space="preserve">MPC</w:t>
      </w:r>
      <w:r>
        <w:rPr>
          <w:i/>
          <w:iCs/>
        </w:rPr>
        <w:t xml:space="preserve">: A</w:t>
      </w:r>
      <w:r>
        <w:rPr>
          <w:i/>
          <w:iCs/>
        </w:rPr>
        <w:t xml:space="preserve"> </w:t>
      </w:r>
      <w:r>
        <w:rPr>
          <w:i/>
          <w:iCs/>
        </w:rPr>
        <w:t xml:space="preserve">DAgger</w:t>
      </w:r>
      <w:r>
        <w:rPr>
          <w:i/>
          <w:iCs/>
        </w:rPr>
        <w:t xml:space="preserve">-driven imitation learning strategy for optimal constrained battery charging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https://arxiv.org/abs/2406.15985</w:t>
        </w:r>
      </w:hyperlink>
      <w:r>
        <w:t xml:space="preserve">.</w:t>
      </w:r>
    </w:p>
    <w:bookmarkEnd w:id="53"/>
    <w:bookmarkStart w:id="54" w:name="ref-farahmand2017value"/>
    <w:p>
      <w:pPr>
        <w:pStyle w:val="Bibliography"/>
      </w:pPr>
      <w:r>
        <w:t xml:space="preserve">Farahmand, Amir-massoud, André Barreto, и Daniel Nikovski. 2017 г.</w:t>
      </w:r>
      <w:r>
        <w:t xml:space="preserve"> </w:t>
      </w:r>
      <w:r>
        <w:t xml:space="preserve">«Value-aware loss function for model-based reinforcement learning»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20th International Conference on Artificial Intelligence and Statistics (AISTATS)</w:t>
      </w:r>
      <w:r>
        <w:t xml:space="preserve">, PMLR, т. 54: 1486–94.</w:t>
      </w:r>
    </w:p>
    <w:bookmarkEnd w:id="54"/>
    <w:bookmarkStart w:id="55" w:name="ref-fasel2022ensemble"/>
    <w:p>
      <w:pPr>
        <w:pStyle w:val="Bibliography"/>
      </w:pPr>
      <w:r>
        <w:t xml:space="preserve">Fasel, Urban, J. Nathan Kutz, Bingni W. Brunton, и Steven L. Brunton. 2022 г.</w:t>
      </w:r>
      <w:r>
        <w:t xml:space="preserve"> </w:t>
      </w:r>
      <w:r>
        <w:t xml:space="preserve">«Ensemble-</w:t>
      </w:r>
      <w:r>
        <w:t xml:space="preserve">SINDy</w:t>
      </w:r>
      <w:r>
        <w:t xml:space="preserve">: Robust sparse model discovery in the low-data, high-noise limit, with active learning and control»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A</w:t>
      </w:r>
      <w:r>
        <w:t xml:space="preserve"> </w:t>
      </w:r>
      <w:r>
        <w:t xml:space="preserve">478 (2260): 20210904.</w:t>
      </w:r>
    </w:p>
    <w:bookmarkEnd w:id="55"/>
    <w:bookmarkStart w:id="56" w:name="ref-gevers1993"/>
    <w:p>
      <w:pPr>
        <w:pStyle w:val="Bibliography"/>
      </w:pPr>
      <w:r>
        <w:t xml:space="preserve">Gevers, Michel. 1993 г.</w:t>
      </w:r>
      <w:r>
        <w:t xml:space="preserve"> </w:t>
      </w:r>
      <w:r>
        <w:t xml:space="preserve">«Towards a joint design of identification and control?»</w:t>
      </w:r>
      <w:r>
        <w:t xml:space="preserve"> В</w:t>
      </w:r>
      <w:r>
        <w:t xml:space="preserve"> </w:t>
      </w:r>
      <w:r>
        <w:rPr>
          <w:i/>
          <w:iCs/>
        </w:rPr>
        <w:t xml:space="preserve">Essays on Control: Perspectives in the Theory and its Applications</w:t>
      </w:r>
      <w:r>
        <w:t xml:space="preserve">. Birkh</w:t>
      </w:r>
      <w:r>
        <w:t xml:space="preserve">ä</w:t>
      </w:r>
      <w:r>
        <w:t xml:space="preserve">user.</w:t>
      </w:r>
    </w:p>
    <w:bookmarkEnd w:id="56"/>
    <w:bookmarkStart w:id="57" w:name="ref-haarnoja2018sac"/>
    <w:p>
      <w:pPr>
        <w:pStyle w:val="Bibliography"/>
      </w:pPr>
      <w:r>
        <w:t xml:space="preserve">Haarnoja, Tuomas, Aurick Zhou, Pieter Abbeel, и Sergey Levine. 2018 г.</w:t>
      </w:r>
      <w:r>
        <w:t xml:space="preserve"> </w:t>
      </w:r>
      <w:r>
        <w:t xml:space="preserve">«Soft actor-critic: Off-policy maximum entropy deep reinforcement learning with a stochastic actor»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35th International Conference on Machine Learning (ICML)</w:t>
      </w:r>
      <w:r>
        <w:t xml:space="preserve">, PMLR, т. 80: 1861–70.</w:t>
      </w:r>
    </w:p>
    <w:bookmarkEnd w:id="57"/>
    <w:bookmarkStart w:id="58" w:name="ref-henderson2018matters"/>
    <w:p>
      <w:pPr>
        <w:pStyle w:val="Bibliography"/>
      </w:pPr>
      <w:r>
        <w:t xml:space="preserve">Henderson, Peter, Riashat Islam, Philip Bachman, Joelle Pineau, Doina Precup, и David Meger. 2018 г.</w:t>
      </w:r>
      <w:r>
        <w:t xml:space="preserve"> </w:t>
      </w:r>
      <w:r>
        <w:t xml:space="preserve">«Deep reinforcement learning that matters»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32nd AAAI Conference on Artificial Intelligence</w:t>
      </w:r>
      <w:r>
        <w:t xml:space="preserve">.</w:t>
      </w:r>
    </w:p>
    <w:bookmarkEnd w:id="58"/>
    <w:bookmarkStart w:id="59" w:name="ref-vanhenten1994thesis"/>
    <w:p>
      <w:pPr>
        <w:pStyle w:val="Bibliography"/>
      </w:pPr>
      <w:r>
        <w:t xml:space="preserve">Henten, Eldert J. van. 1994 г.</w:t>
      </w:r>
      <w:r>
        <w:t xml:space="preserve"> </w:t>
      </w:r>
      <w:r>
        <w:t xml:space="preserve">«Greenhouse climate management: an optimal control approach»</w:t>
      </w:r>
      <w:r>
        <w:t xml:space="preserve">. Phdthesis, Wageningen University.</w:t>
      </w:r>
    </w:p>
    <w:bookmarkEnd w:id="59"/>
    <w:bookmarkStart w:id="60" w:name="ref-vanhenten2009timescale"/>
    <w:p>
      <w:pPr>
        <w:pStyle w:val="Bibliography"/>
      </w:pPr>
      <w:r>
        <w:t xml:space="preserve">Henten, Eldert J. van, и Jan Bontsema. 2009 г.</w:t>
      </w:r>
      <w:r>
        <w:t xml:space="preserve"> </w:t>
      </w:r>
      <w:r>
        <w:t xml:space="preserve">«Time-scale decomposition of an optimal control problem in greenhouse climate management»</w:t>
      </w:r>
      <w:r>
        <w:t xml:space="preserve">.</w:t>
      </w:r>
      <w:r>
        <w:t xml:space="preserve"> </w:t>
      </w:r>
      <w:r>
        <w:rPr>
          <w:i/>
          <w:iCs/>
        </w:rPr>
        <w:t xml:space="preserve">Control Engineering Practice</w:t>
      </w:r>
      <w:r>
        <w:t xml:space="preserve"> </w:t>
      </w:r>
      <w:r>
        <w:t xml:space="preserve">17 (1): 88–96.</w:t>
      </w:r>
    </w:p>
    <w:bookmarkEnd w:id="60"/>
    <w:bookmarkStart w:id="61" w:name="ref-hjalmarsson2005experiment"/>
    <w:p>
      <w:pPr>
        <w:pStyle w:val="Bibliography"/>
      </w:pPr>
      <w:r>
        <w:t xml:space="preserve">Hjalmarsson, Håkan. 2005 г.</w:t>
      </w:r>
      <w:r>
        <w:t xml:space="preserve"> </w:t>
      </w:r>
      <w:r>
        <w:t xml:space="preserve">«From experiment design to closed-loop control»</w:t>
      </w:r>
      <w:r>
        <w:t xml:space="preserve">.</w:t>
      </w:r>
      <w:r>
        <w:t xml:space="preserve"> </w:t>
      </w:r>
      <w:r>
        <w:rPr>
          <w:i/>
          <w:iCs/>
        </w:rPr>
        <w:t xml:space="preserve">Automatica</w:t>
      </w:r>
      <w:r>
        <w:t xml:space="preserve"> </w:t>
      </w:r>
      <w:r>
        <w:t xml:space="preserve">41 (3): 393–438.</w:t>
      </w:r>
    </w:p>
    <w:bookmarkEnd w:id="61"/>
    <w:bookmarkStart w:id="62" w:name="ref-hjalmarsson1994closing"/>
    <w:p>
      <w:pPr>
        <w:pStyle w:val="Bibliography"/>
      </w:pPr>
      <w:r>
        <w:t xml:space="preserve">Hjalmarsson, Håkan, Michel Gevers, Franky De Bruyne, и J. Leblond. 1994 г.</w:t>
      </w:r>
      <w:r>
        <w:t xml:space="preserve"> </w:t>
      </w:r>
      <w:r>
        <w:t xml:space="preserve">«Identification for control: closing the loop gives more accurate controllers»</w:t>
      </w:r>
      <w:r>
        <w:t xml:space="preserve">.</w:t>
      </w:r>
      <w:r>
        <w:t xml:space="preserve"> </w:t>
      </w:r>
      <w:r>
        <w:rPr>
          <w:i/>
          <w:iCs/>
        </w:rPr>
        <w:t xml:space="preserve">33rd IEEE Conference on Decision and Control (CDC)</w:t>
      </w:r>
      <w:r>
        <w:t xml:space="preserve">.</w:t>
      </w:r>
    </w:p>
    <w:bookmarkEnd w:id="62"/>
    <w:bookmarkStart w:id="63" w:name="ref-holm1979"/>
    <w:p>
      <w:pPr>
        <w:pStyle w:val="Bibliography"/>
      </w:pPr>
      <w:r>
        <w:t xml:space="preserve">Holm, Sture. 1979 г.</w:t>
      </w:r>
      <w:r>
        <w:t xml:space="preserve"> </w:t>
      </w:r>
      <w:r>
        <w:t xml:space="preserve">«A simple sequentially rejective multiple test procedure»</w:t>
      </w:r>
      <w:r>
        <w:t xml:space="preserve">.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63"/>
    <w:bookmarkStart w:id="65" w:name="ref-jacobiandmd2022"/>
    <w:p>
      <w:pPr>
        <w:pStyle w:val="Bibliography"/>
      </w:pPr>
      <w:r>
        <w:t xml:space="preserve">Jackson, Brian E., Jeong Hun Lee, Kevin Tracy, и Zachary Manchester. 2022 г.</w:t>
      </w:r>
      <w:r>
        <w:t xml:space="preserve"> </w:t>
      </w:r>
      <w:r>
        <w:rPr>
          <w:i/>
          <w:iCs/>
        </w:rPr>
        <w:t xml:space="preserve">Data-efficient model learning for control with</w:t>
      </w:r>
      <w:r>
        <w:rPr>
          <w:i/>
          <w:iCs/>
        </w:rPr>
        <w:t xml:space="preserve"> </w:t>
      </w:r>
      <w:r>
        <w:rPr>
          <w:i/>
          <w:iCs/>
        </w:rPr>
        <w:t xml:space="preserve">Jacobian</w:t>
      </w:r>
      <w:r>
        <w:rPr>
          <w:i/>
          <w:iCs/>
        </w:rPr>
        <w:t xml:space="preserve">-regularized dynamic-mode decomposition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https://arxiv.org/abs/2212.07885</w:t>
        </w:r>
      </w:hyperlink>
      <w:r>
        <w:t xml:space="preserve">.</w:t>
      </w:r>
    </w:p>
    <w:bookmarkEnd w:id="65"/>
    <w:bookmarkStart w:id="66" w:name="ref-kaiser2018sindympc"/>
    <w:p>
      <w:pPr>
        <w:pStyle w:val="Bibliography"/>
      </w:pPr>
      <w:r>
        <w:t xml:space="preserve">Kaiser, Eurika, J. Nathan Kutz, и Steven L. Brunton. 2018 г.</w:t>
      </w:r>
      <w:r>
        <w:t xml:space="preserve"> </w:t>
      </w:r>
      <w:r>
        <w:t xml:space="preserve">«Sparse identification of nonlinear dynamics for model predictive control in the low-data limit»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A</w:t>
      </w:r>
      <w:r>
        <w:t xml:space="preserve"> </w:t>
      </w:r>
      <w:r>
        <w:t xml:space="preserve">474 (2219): 20180335.</w:t>
      </w:r>
    </w:p>
    <w:bookmarkEnd w:id="66"/>
    <w:bookmarkStart w:id="67" w:name="ref-kaptanoglu2022pysindy"/>
    <w:p>
      <w:pPr>
        <w:pStyle w:val="Bibliography"/>
      </w:pPr>
      <w:r>
        <w:t xml:space="preserve">Kaptanoglu, Alan A., Brian M. de Silva, Urban Fasel, и др. 2022 г.</w:t>
      </w:r>
      <w:r>
        <w:t xml:space="preserve"> </w:t>
      </w:r>
      <w:r>
        <w:t xml:space="preserve">«</w:t>
      </w:r>
      <w:r>
        <w:t xml:space="preserve">PySINDy</w:t>
      </w:r>
      <w:r>
        <w:t xml:space="preserve">: A comprehensive</w:t>
      </w:r>
      <w:r>
        <w:t xml:space="preserve"> </w:t>
      </w:r>
      <w:r>
        <w:t xml:space="preserve">Python</w:t>
      </w:r>
      <w:r>
        <w:t xml:space="preserve"> </w:t>
      </w:r>
      <w:r>
        <w:t xml:space="preserve">package for robust sparse system identification»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7 (69): 3994.</w:t>
      </w:r>
    </w:p>
    <w:bookmarkEnd w:id="67"/>
    <w:bookmarkStart w:id="68" w:name="ref-katzin2021led"/>
    <w:p>
      <w:pPr>
        <w:pStyle w:val="Bibliography"/>
      </w:pPr>
      <w:r>
        <w:t xml:space="preserve">Katzin, David, Leo F. M. Marcelis, и Simon van Mourik. 2021 г.</w:t>
      </w:r>
      <w:r>
        <w:t xml:space="preserve"> </w:t>
      </w:r>
      <w:r>
        <w:t xml:space="preserve">«Energy savings in greenhouses by transition from high-pressure sodium to</w:t>
      </w:r>
      <w:r>
        <w:t xml:space="preserve"> </w:t>
      </w:r>
      <w:r>
        <w:t xml:space="preserve">LED</w:t>
      </w:r>
      <w:r>
        <w:t xml:space="preserve"> </w:t>
      </w:r>
      <w:r>
        <w:t xml:space="preserve">lighting»</w:t>
      </w:r>
      <w:r>
        <w:t xml:space="preserve">.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 </w:t>
      </w:r>
      <w:r>
        <w:t xml:space="preserve">281: 116019.</w:t>
      </w:r>
    </w:p>
    <w:bookmarkEnd w:id="68"/>
    <w:bookmarkStart w:id="69" w:name="ref-katzin2020greenlight"/>
    <w:p>
      <w:pPr>
        <w:pStyle w:val="Bibliography"/>
      </w:pPr>
      <w:r>
        <w:t xml:space="preserve">Katzin, David, Simon van Mourik, Frank Kempkes, и Eldert J. van Henten. 2020 г.</w:t>
      </w:r>
      <w:r>
        <w:t xml:space="preserve"> </w:t>
      </w:r>
      <w:r>
        <w:t xml:space="preserve">«</w:t>
      </w:r>
      <w:r>
        <w:t xml:space="preserve">GreenLight</w:t>
      </w:r>
      <w:r>
        <w:t xml:space="preserve"> </w:t>
      </w:r>
      <w:r>
        <w:t xml:space="preserve">– An open source model for greenhouses with supplemental lighting: Evaluation of heat requirements under</w:t>
      </w:r>
      <w:r>
        <w:t xml:space="preserve"> </w:t>
      </w:r>
      <w:r>
        <w:t xml:space="preserve">LED</w:t>
      </w:r>
      <w:r>
        <w:t xml:space="preserve"> </w:t>
      </w:r>
      <w:r>
        <w:t xml:space="preserve">and</w:t>
      </w:r>
      <w:r>
        <w:t xml:space="preserve"> </w:t>
      </w:r>
      <w:r>
        <w:t xml:space="preserve">HPS</w:t>
      </w:r>
      <w:r>
        <w:t xml:space="preserve"> </w:t>
      </w:r>
      <w:r>
        <w:t xml:space="preserve">lamps»</w:t>
      </w:r>
      <w:r>
        <w:t xml:space="preserve">.</w:t>
      </w:r>
      <w:r>
        <w:t xml:space="preserve"> </w:t>
      </w:r>
      <w:r>
        <w:rPr>
          <w:i/>
          <w:iCs/>
        </w:rPr>
        <w:t xml:space="preserve">Biosystems Engineering</w:t>
      </w:r>
      <w:r>
        <w:t xml:space="preserve"> </w:t>
      </w:r>
      <w:r>
        <w:t xml:space="preserve">194: 61–81.</w:t>
      </w:r>
    </w:p>
    <w:bookmarkEnd w:id="69"/>
    <w:bookmarkStart w:id="70" w:name="ref-vanlaatum2025greenlightgym"/>
    <w:p>
      <w:pPr>
        <w:pStyle w:val="Bibliography"/>
      </w:pPr>
      <w:r>
        <w:t xml:space="preserve">Laatum, Bart van, Eldert J. van Henten, и Sjoerd Boersma. 2025 г.</w:t>
      </w:r>
      <w:r>
        <w:t xml:space="preserve"> </w:t>
      </w:r>
      <w:r>
        <w:t xml:space="preserve">«</w:t>
      </w:r>
      <w:r>
        <w:t xml:space="preserve">GreenLight-Gym</w:t>
      </w:r>
      <w:r>
        <w:t xml:space="preserve">: Reinforcement learning benchmark environment for control of greenhouse production systems»</w:t>
      </w:r>
      <w:r>
        <w:t xml:space="preserve">.</w:t>
      </w:r>
      <w:r>
        <w:t xml:space="preserve"> </w:t>
      </w:r>
      <w:r>
        <w:rPr>
          <w:i/>
          <w:iCs/>
        </w:rPr>
        <w:t xml:space="preserve">IFAC-PapersOnLine</w:t>
      </w:r>
      <w:r>
        <w:t xml:space="preserve">.</w:t>
      </w:r>
    </w:p>
    <w:bookmarkEnd w:id="70"/>
    <w:bookmarkStart w:id="71" w:name="ref-lakshminarayanan2017ensembles"/>
    <w:p>
      <w:pPr>
        <w:pStyle w:val="Bibliography"/>
      </w:pPr>
      <w:r>
        <w:t xml:space="preserve">Lakshminarayanan, Balaji, Alexander Pritzel, и Charles Blundell. 2017 г.</w:t>
      </w:r>
      <w:r>
        <w:t xml:space="preserve"> </w:t>
      </w:r>
      <w:r>
        <w:t xml:space="preserve">«Simple and scalable predictive uncertainty estimation using deep ensembles»</w:t>
      </w:r>
      <w:r>
        <w:t xml:space="preserve">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 </w:t>
      </w:r>
      <w:r>
        <w:t xml:space="preserve">30.</w:t>
      </w:r>
    </w:p>
    <w:bookmarkEnd w:id="71"/>
    <w:bookmarkStart w:id="72" w:name="ref-lambert2020objective"/>
    <w:p>
      <w:pPr>
        <w:pStyle w:val="Bibliography"/>
      </w:pPr>
      <w:r>
        <w:t xml:space="preserve">Lambert, Nathan, Brandon Amos, Omry Yadan, и Roberto Calandra. 2020 г.</w:t>
      </w:r>
      <w:r>
        <w:t xml:space="preserve"> </w:t>
      </w:r>
      <w:r>
        <w:t xml:space="preserve">«Objective mismatch in model-based reinforcement learning»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2nd Conference on Learning for Dynamics and Control (L4DC)</w:t>
      </w:r>
      <w:r>
        <w:t xml:space="preserve">, PMLR, т. 120: 761–70.</w:t>
      </w:r>
    </w:p>
    <w:bookmarkEnd w:id="72"/>
    <w:bookmarkStart w:id="73" w:name="ref-lee2018mahalanobis"/>
    <w:p>
      <w:pPr>
        <w:pStyle w:val="Bibliography"/>
      </w:pPr>
      <w:r>
        <w:t xml:space="preserve">Lee, Kimin, Kibok Lee, Honglak Lee, и Jinwoo Shin. 2018 г.</w:t>
      </w:r>
      <w:r>
        <w:t xml:space="preserve"> </w:t>
      </w:r>
      <w:r>
        <w:t xml:space="preserve">«A simple unified framework for detecting out-of-distribution samples and adversarial attacks»</w:t>
      </w:r>
      <w:r>
        <w:t xml:space="preserve">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 </w:t>
      </w:r>
      <w:r>
        <w:t xml:space="preserve">31.</w:t>
      </w:r>
    </w:p>
    <w:bookmarkEnd w:id="73"/>
    <w:bookmarkStart w:id="74" w:name="ref-lin2021greenhousempc"/>
    <w:p>
      <w:pPr>
        <w:pStyle w:val="Bibliography"/>
      </w:pPr>
      <w:r>
        <w:t xml:space="preserve">Lin, Dawei, Lei Zhang, и Xiaohua Xia. 2021 г.</w:t>
      </w:r>
      <w:r>
        <w:t xml:space="preserve"> </w:t>
      </w:r>
      <w:r>
        <w:t xml:space="preserve">«Model predictive control of a</w:t>
      </w:r>
      <w:r>
        <w:t xml:space="preserve"> </w:t>
      </w:r>
      <w:r>
        <w:t xml:space="preserve">Venlo</w:t>
      </w:r>
      <w:r>
        <w:t xml:space="preserve">-type greenhouse system considering electrical energy and water consumption»</w:t>
      </w:r>
      <w:r>
        <w:t xml:space="preserve">.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 </w:t>
      </w:r>
      <w:r>
        <w:t xml:space="preserve">298: 117163.</w:t>
      </w:r>
    </w:p>
    <w:bookmarkEnd w:id="74"/>
    <w:bookmarkStart w:id="75" w:name="ref-mahalanobis1936"/>
    <w:p>
      <w:pPr>
        <w:pStyle w:val="Bibliography"/>
      </w:pPr>
      <w:r>
        <w:t xml:space="preserve">Mahalanobis, Prasanta Chandra. 1936 г.</w:t>
      </w:r>
      <w:r>
        <w:t xml:space="preserve"> </w:t>
      </w:r>
      <w:r>
        <w:t xml:space="preserve">«On the generalised distance in statistics»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National Institute of Sciences of India</w:t>
      </w:r>
      <w:r>
        <w:t xml:space="preserve"> </w:t>
      </w:r>
      <w:r>
        <w:t xml:space="preserve">2 (1): 49–55.</w:t>
      </w:r>
    </w:p>
    <w:bookmarkEnd w:id="75"/>
    <w:bookmarkStart w:id="77" w:name="ref-mallick2024rlmpc"/>
    <w:p>
      <w:pPr>
        <w:pStyle w:val="Bibliography"/>
      </w:pPr>
      <w:r>
        <w:t xml:space="preserve">Mallick, Samuel, Filippo Airaldi, Azita Dabiri, Congcong Sun, и Bart De Schutter. 2024 г.</w:t>
      </w:r>
      <w:r>
        <w:t xml:space="preserve"> </w:t>
      </w:r>
      <w:r>
        <w:rPr>
          <w:i/>
          <w:iCs/>
        </w:rPr>
        <w:t xml:space="preserve">Reinforcement learning-based model predictive control for greenhouse climate control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https://arxiv.org/abs/2409.12789</w:t>
        </w:r>
      </w:hyperlink>
      <w:r>
        <w:t xml:space="preserve">.</w:t>
      </w:r>
    </w:p>
    <w:bookmarkEnd w:id="77"/>
    <w:bookmarkStart w:id="78" w:name="ref-mangan2017modelselection"/>
    <w:p>
      <w:pPr>
        <w:pStyle w:val="Bibliography"/>
      </w:pPr>
      <w:r>
        <w:t xml:space="preserve">Mangan, Niall M., J. Nathan Kutz, Steven L. Brunton, и Joshua L. Proctor. 2017 г.</w:t>
      </w:r>
      <w:r>
        <w:t xml:space="preserve"> </w:t>
      </w:r>
      <w:r>
        <w:t xml:space="preserve">«Model selection for dynamical systems via sparse regression and information criteria»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A</w:t>
      </w:r>
      <w:r>
        <w:t xml:space="preserve"> </w:t>
      </w:r>
      <w:r>
        <w:t xml:space="preserve">473 (2204): 20170009.</w:t>
      </w:r>
    </w:p>
    <w:bookmarkEnd w:id="78"/>
    <w:bookmarkStart w:id="79" w:name="ref-mayne2000constrained"/>
    <w:p>
      <w:pPr>
        <w:pStyle w:val="Bibliography"/>
      </w:pPr>
      <w:r>
        <w:t xml:space="preserve">Mayne, David Q., James B. Rawlings, Christopher V. Rao, и Pierre O. M. Scokaert. 2000 г.</w:t>
      </w:r>
      <w:r>
        <w:t xml:space="preserve"> </w:t>
      </w:r>
      <w:r>
        <w:t xml:space="preserve">«Constrained model predictive control: Stability and optimality»</w:t>
      </w:r>
      <w:r>
        <w:t xml:space="preserve">.</w:t>
      </w:r>
      <w:r>
        <w:t xml:space="preserve"> </w:t>
      </w:r>
      <w:r>
        <w:rPr>
          <w:i/>
          <w:iCs/>
        </w:rPr>
        <w:t xml:space="preserve">Automatica</w:t>
      </w:r>
      <w:r>
        <w:t xml:space="preserve"> </w:t>
      </w:r>
      <w:r>
        <w:t xml:space="preserve">36 (6): 789–814.</w:t>
      </w:r>
    </w:p>
    <w:bookmarkEnd w:id="79"/>
    <w:bookmarkStart w:id="80" w:name="ref-morcego2023rlvsmpc"/>
    <w:p>
      <w:pPr>
        <w:pStyle w:val="Bibliography"/>
      </w:pPr>
      <w:r>
        <w:t xml:space="preserve">Morcego, Bernardo, Wenjie Yin, Sjoerd Boersma, Eldert van Henten, Vicenç Puig, и Congcong Sun. 2023 г.</w:t>
      </w:r>
      <w:r>
        <w:t xml:space="preserve"> </w:t>
      </w:r>
      <w:r>
        <w:t xml:space="preserve">«Reinforcement learning versus model predictive control on greenhouse climate control»</w:t>
      </w:r>
      <w:r>
        <w:t xml:space="preserve">.</w:t>
      </w:r>
      <w:r>
        <w:t xml:space="preserve"> </w:t>
      </w:r>
      <w:r>
        <w:rPr>
          <w:i/>
          <w:iCs/>
        </w:rPr>
        <w:t xml:space="preserve">Computers and Electronics in Agriculture</w:t>
      </w:r>
      <w:r>
        <w:t xml:space="preserve"> </w:t>
      </w:r>
      <w:r>
        <w:t xml:space="preserve">215: 108372.</w:t>
      </w:r>
    </w:p>
    <w:bookmarkEnd w:id="80"/>
    <w:bookmarkStart w:id="82" w:name="ref-vanmourik2023stochastic"/>
    <w:p>
      <w:pPr>
        <w:pStyle w:val="Bibliography"/>
      </w:pPr>
      <w:r>
        <w:t xml:space="preserve">Mourik, Simon van, Bert van’t Ooster, и Michel Vellekoop. 2023 г.</w:t>
      </w:r>
      <w:r>
        <w:t xml:space="preserve"> </w:t>
      </w:r>
      <w:r>
        <w:rPr>
          <w:i/>
          <w:iCs/>
        </w:rPr>
        <w:t xml:space="preserve">Plant performance in precision horticulture: Optimal climate control under stochastic uncertainty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https://arxiv.org/abs/2303.14678</w:t>
        </w:r>
      </w:hyperlink>
      <w:r>
        <w:t xml:space="preserve">.</w:t>
      </w:r>
    </w:p>
    <w:bookmarkEnd w:id="82"/>
    <w:bookmarkStart w:id="83" w:name="ref-pineau2021repro"/>
    <w:p>
      <w:pPr>
        <w:pStyle w:val="Bibliography"/>
      </w:pPr>
      <w:r>
        <w:t xml:space="preserve">Pineau, Joelle, Philippe Vincent-Lamarre, Koustuv Sinha, и др.</w:t>
      </w:r>
      <w:r>
        <w:t xml:space="preserve"> 2021 г.</w:t>
      </w:r>
      <w:r>
        <w:t xml:space="preserve"> </w:t>
      </w:r>
      <w:r>
        <w:t xml:space="preserve">«Improving reproducibility in machine learning research (a report from the</w:t>
      </w:r>
      <w:r>
        <w:t xml:space="preserve"> </w:t>
      </w:r>
      <w:r>
        <w:t xml:space="preserve">NeurIPS</w:t>
      </w:r>
      <w:r>
        <w:t xml:space="preserve"> </w:t>
      </w:r>
      <w:r>
        <w:t xml:space="preserve">2019 reproducibility program)»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22 (164): 1–20.</w:t>
      </w:r>
    </w:p>
    <w:bookmarkEnd w:id="83"/>
    <w:bookmarkStart w:id="84" w:name="ref-raffin2021sb3"/>
    <w:p>
      <w:pPr>
        <w:pStyle w:val="Bibliography"/>
      </w:pPr>
      <w:r>
        <w:t xml:space="preserve">Raffin, Antonin, Ashley Hill, Adam Gleave, Anssi Kanervisto, Maximilian Ernestus, и Noah Dormann. 2021 г.</w:t>
      </w:r>
      <w:r>
        <w:t xml:space="preserve"> </w:t>
      </w:r>
      <w:r>
        <w:t xml:space="preserve">«Stable-Baselines3: Reliable reinforcement learning implementations»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22 (268): 1–8.</w:t>
      </w:r>
    </w:p>
    <w:bookmarkEnd w:id="84"/>
    <w:bookmarkStart w:id="85" w:name="ref-ross2011dagger"/>
    <w:p>
      <w:pPr>
        <w:pStyle w:val="Bibliography"/>
      </w:pPr>
      <w:r>
        <w:t xml:space="preserve">Ross, Stéphane, Geoffrey J. Gordon, и J. Andrew Bagnell. 2011 г.</w:t>
      </w:r>
      <w:r>
        <w:t xml:space="preserve"> </w:t>
      </w:r>
      <w:r>
        <w:t xml:space="preserve">«A reduction of imitation learning and structured prediction to no-regret online learning»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14th International Conference on Artificial Intelligence and Statistics (AISTATS)</w:t>
      </w:r>
      <w:r>
        <w:t xml:space="preserve">, PMLR, т. 15: 627–35.</w:t>
      </w:r>
    </w:p>
    <w:bookmarkEnd w:id="85"/>
    <w:bookmarkStart w:id="87" w:name="ref-schulman2017ppo"/>
    <w:p>
      <w:pPr>
        <w:pStyle w:val="Bibliography"/>
      </w:pPr>
      <w:r>
        <w:t xml:space="preserve">Schulman, John, Filip Wolski, Prafulla Dhariwal, Alec Radford, и Oleg Klimov. 2017 г.</w:t>
      </w:r>
      <w:r>
        <w:t xml:space="preserve"> </w:t>
      </w:r>
      <w:r>
        <w:rPr>
          <w:i/>
          <w:iCs/>
        </w:rPr>
        <w:t xml:space="preserve">Proximal policy optimization algorithms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https://arxiv.org/abs/1707.06347</w:t>
        </w:r>
      </w:hyperlink>
      <w:r>
        <w:t xml:space="preserve">.</w:t>
      </w:r>
    </w:p>
    <w:bookmarkEnd w:id="87"/>
    <w:bookmarkStart w:id="88" w:name="ref-desilva2020pysindy"/>
    <w:p>
      <w:pPr>
        <w:pStyle w:val="Bibliography"/>
      </w:pPr>
      <w:r>
        <w:t xml:space="preserve">Silva, Brian M. de, Kathleen Champion, Markus Quade, Jean-Christophe Loiseau, J. Nathan Kutz, и Steven L. Brunton. 2020 г.</w:t>
      </w:r>
      <w:r>
        <w:t xml:space="preserve"> </w:t>
      </w:r>
      <w:r>
        <w:t xml:space="preserve">«</w:t>
      </w:r>
      <w:r>
        <w:t xml:space="preserve">PySINDy</w:t>
      </w:r>
      <w:r>
        <w:t xml:space="preserve">: A</w:t>
      </w:r>
      <w:r>
        <w:t xml:space="preserve"> </w:t>
      </w:r>
      <w:r>
        <w:t xml:space="preserve">Python</w:t>
      </w:r>
      <w:r>
        <w:t xml:space="preserve"> </w:t>
      </w:r>
      <w:r>
        <w:t xml:space="preserve">package for the sparse identification of nonlinear dynamics from data»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5 (49): 2104.</w:t>
      </w:r>
    </w:p>
    <w:bookmarkEnd w:id="88"/>
    <w:bookmarkStart w:id="90" w:name="ref-controlorientedsurvey2025"/>
    <w:p>
      <w:pPr>
        <w:pStyle w:val="Bibliography"/>
      </w:pPr>
      <w:r>
        <w:t xml:space="preserve">Sivaranjani, S., Yuanyuan Shi, Nikolay Atanasov, и др. 2025 г.</w:t>
      </w:r>
      <w:r>
        <w:t xml:space="preserve"> </w:t>
      </w:r>
      <w:r>
        <w:rPr>
          <w:i/>
          <w:iCs/>
        </w:rPr>
        <w:t xml:space="preserve">Control-oriented system identification: Classical, learning, and physics-informed approaches</w:t>
      </w:r>
      <w:r>
        <w:t xml:space="preserve">.</w:t>
      </w:r>
      <w:r>
        <w:t xml:space="preserve"> </w:t>
      </w:r>
      <w:hyperlink r:id="rId89">
        <w:r>
          <w:rPr>
            <w:rStyle w:val="Hyperlink"/>
          </w:rPr>
          <w:t xml:space="preserve">https://arxiv.org/abs/2512.06315</w:t>
        </w:r>
      </w:hyperlink>
      <w:r>
        <w:t xml:space="preserve">.</w:t>
      </w:r>
    </w:p>
    <w:bookmarkEnd w:id="90"/>
    <w:bookmarkStart w:id="91" w:name="ref-sun2017deeply"/>
    <w:p>
      <w:pPr>
        <w:pStyle w:val="Bibliography"/>
      </w:pPr>
      <w:r>
        <w:t xml:space="preserve">Sun, Wen, Arun Venkatraman, Geoffrey J. Gordon, Byron Boots, и J. Andrew Bagnell. 2017 г.</w:t>
      </w:r>
      <w:r>
        <w:t xml:space="preserve"> </w:t>
      </w:r>
      <w:r>
        <w:t xml:space="preserve">«Deeply</w:t>
      </w:r>
      <w:r>
        <w:t xml:space="preserve"> </w:t>
      </w:r>
      <w:r>
        <w:t xml:space="preserve">AggreVaTeD</w:t>
      </w:r>
      <w:r>
        <w:t xml:space="preserve">: Differentiable imitation learning for sequential prediction»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34th International Conference on Machine Learning (ICML)</w:t>
      </w:r>
      <w:r>
        <w:t xml:space="preserve">, PMLR, т. 70: 3309–18.</w:t>
      </w:r>
    </w:p>
    <w:bookmarkEnd w:id="91"/>
    <w:bookmarkStart w:id="93" w:name="ref-tagliabue2021guided"/>
    <w:p>
      <w:pPr>
        <w:pStyle w:val="Bibliography"/>
      </w:pPr>
      <w:r>
        <w:t xml:space="preserve">Tagliabue, Andrea, Dong-Ki Kim, Michael Everett, и Jonathan P. How. 2021 г.</w:t>
      </w:r>
      <w:r>
        <w:t xml:space="preserve"> </w:t>
      </w:r>
      <w:r>
        <w:rPr>
          <w:i/>
          <w:iCs/>
        </w:rPr>
        <w:t xml:space="preserve">Demonstration-efficient guided policy search via imitation of robust tube</w:t>
      </w:r>
      <w:r>
        <w:rPr>
          <w:i/>
          <w:iCs/>
        </w:rPr>
        <w:t xml:space="preserve"> </w:t>
      </w:r>
      <w:r>
        <w:rPr>
          <w:i/>
          <w:iCs/>
        </w:rPr>
        <w:t xml:space="preserve">MPC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https://arxiv.org/abs/2109.09910</w:t>
        </w:r>
      </w:hyperlink>
      <w:r>
        <w:t xml:space="preserve">.</w:t>
      </w:r>
    </w:p>
    <w:bookmarkEnd w:id="93"/>
    <w:bookmarkStart w:id="94" w:name="ref-vandenhof1995closedloop"/>
    <w:p>
      <w:pPr>
        <w:pStyle w:val="Bibliography"/>
      </w:pPr>
      <w:r>
        <w:t xml:space="preserve">Van den Hof, Paul M. J., и Ruud J. P. Schrama. 1995 г.</w:t>
      </w:r>
      <w:r>
        <w:t xml:space="preserve"> </w:t>
      </w:r>
      <w:r>
        <w:t xml:space="preserve">«Identification and control — closed-loop issues»</w:t>
      </w:r>
      <w:r>
        <w:t xml:space="preserve">.</w:t>
      </w:r>
      <w:r>
        <w:t xml:space="preserve"> </w:t>
      </w:r>
      <w:r>
        <w:rPr>
          <w:i/>
          <w:iCs/>
        </w:rPr>
        <w:t xml:space="preserve">Automatica</w:t>
      </w:r>
      <w:r>
        <w:t xml:space="preserve"> </w:t>
      </w:r>
      <w:r>
        <w:t xml:space="preserve">31 (12): 1751–70.</w:t>
      </w:r>
    </w:p>
    <w:bookmarkEnd w:id="94"/>
    <w:bookmarkStart w:id="95" w:name="ref-wei2023unified"/>
    <w:p>
      <w:pPr>
        <w:pStyle w:val="Bibliography"/>
      </w:pPr>
      <w:r>
        <w:t xml:space="preserve">Wei, Ran, Nathan Lambert, Anthony McDonald, Alfredo Garcia, и Roberto Calandra. 2023 г.</w:t>
      </w:r>
      <w:r>
        <w:t xml:space="preserve"> </w:t>
      </w:r>
      <w:r>
        <w:t xml:space="preserve">«A unified view on solving objective mismatch in model-based reinforcement learning»</w:t>
      </w:r>
      <w:r>
        <w:t xml:space="preserve">.</w:t>
      </w:r>
      <w:r>
        <w:t xml:space="preserve"> </w:t>
      </w:r>
      <w:r>
        <w:rPr>
          <w:i/>
          <w:iCs/>
        </w:rPr>
        <w:t xml:space="preserve">Transactions on Machine Learning Research (TMLR)</w:t>
      </w:r>
      <w:r>
        <w:t xml:space="preserve">.</w:t>
      </w:r>
    </w:p>
    <w:bookmarkEnd w:id="95"/>
    <w:bookmarkStart w:id="96" w:name="ref-wilcoxon1945"/>
    <w:p>
      <w:pPr>
        <w:pStyle w:val="Bibliography"/>
      </w:pPr>
      <w:r>
        <w:t xml:space="preserve">Wilcoxon, Frank. 1945 г.</w:t>
      </w:r>
      <w:r>
        <w:t xml:space="preserve"> </w:t>
      </w:r>
      <w:r>
        <w:t xml:space="preserve">«Individual comparisons by ranking methods»</w:t>
      </w:r>
      <w:r>
        <w:t xml:space="preserve">.</w:t>
      </w:r>
      <w:r>
        <w:t xml:space="preserve"> </w:t>
      </w:r>
      <w:r>
        <w:rPr>
          <w:i/>
          <w:iCs/>
        </w:rPr>
        <w:t xml:space="preserve">Biometrics Bulletin</w:t>
      </w:r>
      <w:r>
        <w:t xml:space="preserve"> </w:t>
      </w:r>
      <w:r>
        <w:t xml:space="preserve">1 (6): 80–83.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3" Target="media/rId13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86" Target="https://arxiv.org/abs/1707.06347" TargetMode="External" /><Relationship Type="http://schemas.openxmlformats.org/officeDocument/2006/relationships/hyperlink" Id="rId92" Target="https://arxiv.org/abs/2109.09910" TargetMode="External" /><Relationship Type="http://schemas.openxmlformats.org/officeDocument/2006/relationships/hyperlink" Id="rId64" Target="https://arxiv.org/abs/2212.07885" TargetMode="External" /><Relationship Type="http://schemas.openxmlformats.org/officeDocument/2006/relationships/hyperlink" Id="rId81" Target="https://arxiv.org/abs/2303.14678" TargetMode="External" /><Relationship Type="http://schemas.openxmlformats.org/officeDocument/2006/relationships/hyperlink" Id="rId52" Target="https://arxiv.org/abs/2406.15985" TargetMode="External" /><Relationship Type="http://schemas.openxmlformats.org/officeDocument/2006/relationships/hyperlink" Id="rId76" Target="https://arxiv.org/abs/2409.12789" TargetMode="External" /><Relationship Type="http://schemas.openxmlformats.org/officeDocument/2006/relationships/hyperlink" Id="rId89" Target="https://arxiv.org/abs/2512.06315" TargetMode="External" /><Relationship Type="http://schemas.openxmlformats.org/officeDocument/2006/relationships/hyperlink" Id="rId48" Target="https://arxiv.org/abs/2604.1841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arxiv.org/abs/1707.06347" TargetMode="External" /><Relationship Type="http://schemas.openxmlformats.org/officeDocument/2006/relationships/hyperlink" Id="rId92" Target="https://arxiv.org/abs/2109.09910" TargetMode="External" /><Relationship Type="http://schemas.openxmlformats.org/officeDocument/2006/relationships/hyperlink" Id="rId64" Target="https://arxiv.org/abs/2212.07885" TargetMode="External" /><Relationship Type="http://schemas.openxmlformats.org/officeDocument/2006/relationships/hyperlink" Id="rId81" Target="https://arxiv.org/abs/2303.14678" TargetMode="External" /><Relationship Type="http://schemas.openxmlformats.org/officeDocument/2006/relationships/hyperlink" Id="rId52" Target="https://arxiv.org/abs/2406.15985" TargetMode="External" /><Relationship Type="http://schemas.openxmlformats.org/officeDocument/2006/relationships/hyperlink" Id="rId76" Target="https://arxiv.org/abs/2409.12789" TargetMode="External" /><Relationship Type="http://schemas.openxmlformats.org/officeDocument/2006/relationships/hyperlink" Id="rId89" Target="https://arxiv.org/abs/2512.06315" TargetMode="External" /><Relationship Type="http://schemas.openxmlformats.org/officeDocument/2006/relationships/hyperlink" Id="rId48" Target="https://arxiv.org/abs/2604.1841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Когда разреженность скрывает исполнительный механизм: предварительно зарегистрированное экономическое сопоставительное исследование SINDy-MPC для управления микроклиматом теплицы</dc:title>
  <dc:creator>Автор Первый; Автор Второй</dc:creator>
  <dc:language>ru</dc:language>
  <cp:keywords/>
  <dcterms:created xsi:type="dcterms:W3CDTF">2026-07-08T16:45:39Z</dcterms:created>
  <dcterms:modified xsi:type="dcterms:W3CDTF">2026-07-08T16:45:39Z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Интерпретируемые суррогатные модели, восстановленные из данных, — в частности, разреженная идентификация нелинейной динамики (SINDy), — привлекательны для модельно-прогнозирующего управления (МПУ) микроклиматом теплицы, поскольку дают явные, поддающиеся проверке уравнения, а не «чёрный ящик». Однако цену такой интерпретируемости редко измеряют при честном протоколе: эталоны сравнения не настроены, метрикой служит косвенный показатель слежения, а не прибыль, и — что наименее очевидно — рецепт идентификации выбирают по качеству прогноза в разомкнутом контуре. В работе приводится предварительно зарегистрированное вычислительное экономическое сопоставительное исследование десяти регуляторов на имитационной модели томатной теплицы GreenLight (Ростов-на-Дону, реальная погода ERA5 2018–2023). Первичной метрикой служит собственный экономический показатель эффективности симулятора (EPI, сезонная прибыль), первичным критерием — двухосевое доминирование по Парето (EPI против числа нарушений ограничений), на 20 независимых повторах с парной непараметрической статистикой. Предварительно зарегистрированный рецепт SINDy-MPC, замороженный по разомкнутым метрикам до какой-либо оценки в замкнутом контуре, экономически оказывается среди слабейших интерпретируемых регуляторов (1{,}18 против 4{,}63~\text{EUR/м}^2 у настроенного эталона на правилах). Однопараметрическая абляция вскрывает причину: порог разреженности обнуляет член котла в уравнении температуры — единственный смоделированный орган нагрева, — и EPI в замкнутом контуре обрушивается с 3{,}8 до 1{,}0~\text{EUR/м}^2, тогда как ошибка многошагового прогноза в разомкнутом контуре остаётся почти неизменной (2{,}25\to2{,}39). Тем самым критерий отбора по разомкнутому контуру нечувствителен к тому провалу замкнутого контура, который он порождает. Восстановление члена — более плотным порогом либо методом DAgger — возвращает EPI к паритету с эвристикой без потери интерпретируемости, а восстановленная модель совпадает с первопринципной моделью «серого ящика». Сравнение с дополнительными регуляторами исключает очевидные альтернативные объяснения: оракул по истинной модели перерасходует ресурсы и не является верхней границей; нормированный PPO улучшается, но не выигрывает; нейросетевое МПУ — худшее. Следовательно, узким местом не являются ни недостаточная точность модели, ни интерпретируемость. Доказуемая ценность интерпретируемой суррогатной модели лежит не в экономическом превосходстве, а в безопасности и защите при выходе за пределы обучающего распределения. Сделан вывод: экономность модели не тождественна её интерпретируемости; разреженность недопустимо включать в критерии отбора модели, когда конечной задачей является управление в замкнутом контуре; предрегистрация, замороженная по разомкнутому контуру, способна систематически удостоверять катастрофичную для управления модель.</vt:lpwstr>
  </property>
  <property fmtid="{D5CDD505-2E9C-101B-9397-08002B2CF9AE}" pid="3" name="bibliography">
    <vt:lpwstr>references.bib</vt:lpwstr>
  </property>
</Properties>
</file>