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8.png" ContentType="image/png"/>
  <Override PartName="/word/media/rId40.png" ContentType="image/png"/>
  <Override PartName="/word/media/rId49.png" ContentType="image/png"/>
  <Override PartName="/word/media/rId59.png" ContentType="image/png"/>
  <Override PartName="/word/media/rId6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Ivan I. Naumov</w:t>
      </w:r>
      <m:oMath>
        <m:sSup>
          <m:e>
            <m:r>
              <m:t>​</m:t>
            </m:r>
          </m:e>
          <m:sup>
            <m:r>
              <m:t>1</m:t>
            </m:r>
            <m:r>
              <m:rPr>
                <m:sty m:val="p"/>
              </m:rPr>
              <m:t>,</m:t>
            </m:r>
            <m:r>
              <m:rPr>
                <m:sty m:val="p"/>
              </m:rPr>
              <m:t>*</m:t>
            </m:r>
          </m:sup>
        </m:sSup>
      </m:oMath>
      <w:r>
        <w:t xml:space="preserve"> </w:t>
      </w:r>
      <w:r>
        <w:t xml:space="preserve"> </w:t>
      </w:r>
      <w:r>
        <w:rPr>
          <w:vertAlign w:val="superscript"/>
        </w:rPr>
        <w:t xml:space="preserve">0000-0002-8582-3203</w:t>
      </w:r>
    </w:p>
    <w:p>
      <w:pPr>
        <w:pStyle w:val="Author"/>
      </w:pPr>
      <w:r>
        <w:rPr>
          <w:b/>
          <w:bCs/>
        </w:rPr>
        <w:t xml:space="preserve">Maksim V. Lyashov</w:t>
      </w:r>
      <m:oMath>
        <m:sSup>
          <m:e>
            <m:r>
              <m:t>​</m:t>
            </m:r>
          </m:e>
          <m:sup>
            <m:r>
              <m:t>1</m:t>
            </m:r>
          </m:sup>
        </m:sSup>
      </m:oMath>
      <w:r>
        <w:t xml:space="preserve"> </w:t>
      </w:r>
      <w:r>
        <w:t xml:space="preserve"> </w:t>
      </w:r>
      <w:r>
        <w:rPr>
          <w:vertAlign w:val="superscript"/>
        </w:rPr>
        <w:t xml:space="preserve">0009-0004-9754-3390</w:t>
      </w:r>
    </w:p>
    <w:p>
      <w:pPr>
        <w:pStyle w:val="Author"/>
      </w:pPr>
      <w:r>
        <w:rPr>
          <w:b/>
          <w:bCs/>
        </w:rPr>
        <w:t xml:space="preserve">Anton T. Chernyaev</w:t>
      </w:r>
      <m:oMath>
        <m:sSup>
          <m:e>
            <m:r>
              <m:t>​</m:t>
            </m:r>
          </m:e>
          <m:sup>
            <m:r>
              <m:t>1</m:t>
            </m:r>
          </m:sup>
        </m:sSup>
      </m:oMath>
      <w:r>
        <w:t xml:space="preserve"> </w:t>
      </w:r>
      <w:r>
        <w:t xml:space="preserve"> </w:t>
      </w:r>
      <w:r>
        <w:rPr>
          <w:vertAlign w:val="superscript"/>
        </w:rPr>
        <w:t xml:space="preserve">0009-0001-6836-6522</w:t>
      </w:r>
    </w:p>
    <w:p>
      <w:pPr>
        <w:pStyle w:val="Author"/>
      </w:pPr>
      <w:r>
        <w:rPr>
          <w:b/>
          <w:bCs/>
        </w:rPr>
        <w:t xml:space="preserve">Mariya S. Kilina</w:t>
      </w:r>
      <m:oMath>
        <m:sSup>
          <m:e>
            <m:r>
              <m:t>​</m:t>
            </m:r>
          </m:e>
          <m:sup>
            <m:r>
              <m:t>2</m:t>
            </m:r>
          </m:sup>
        </m:sSup>
      </m:oMath>
    </w:p>
    <w:p>
      <w:pPr>
        <w:pStyle w:val="Author"/>
      </w:pPr>
      <w:r>
        <w:rPr>
          <w:b/>
          <w:bCs/>
        </w:rPr>
        <w:t xml:space="preserve">Marina M. Zhdanova</w:t>
      </w:r>
      <m:oMath>
        <m:sSup>
          <m:e>
            <m:r>
              <m:t>​</m:t>
            </m:r>
          </m:e>
          <m:sup>
            <m:r>
              <m:t>3</m:t>
            </m:r>
          </m:sup>
        </m:sSup>
      </m:oMath>
      <w:r>
        <w:t xml:space="preserve"> </w:t>
      </w:r>
      <w:r>
        <w:t xml:space="preserve"> </w:t>
      </w:r>
      <w:r>
        <w:rPr>
          <w:vertAlign w:val="superscript"/>
        </w:rPr>
        <w:t xml:space="preserve">0000-0003-1119-5221</w:t>
      </w:r>
    </w:p>
    <w:p>
      <w:pPr>
        <w:pStyle w:val="Author"/>
      </w:pPr>
      <w:r>
        <w:rPr>
          <w:b/>
          <w:bCs/>
        </w:rPr>
        <w:t xml:space="preserve">Elena O. Chernyaeva</w:t>
      </w:r>
      <m:oMath>
        <m:sSup>
          <m:e>
            <m:r>
              <m:t>​</m:t>
            </m:r>
          </m:e>
          <m:sup>
            <m:r>
              <m:t>1</m:t>
            </m:r>
          </m:sup>
        </m:sSup>
      </m:oMath>
      <w:r>
        <w:t xml:space="preserve"> </w:t>
      </w:r>
      <w:r>
        <w:t xml:space="preserve"> </w:t>
      </w:r>
      <w:r>
        <w:rPr>
          <w:vertAlign w:val="superscript"/>
        </w:rPr>
        <w:t xml:space="preserve">0009-0003-3829-3486</w:t>
      </w:r>
    </w:p>
    <w:p>
      <w:pPr>
        <w:pStyle w:val="Author"/>
      </w:pPr>
      <w:r>
        <w:rPr>
          <w:b/>
          <w:bCs/>
        </w:rPr>
        <w:t xml:space="preserve">Marina S. Kharina</w:t>
      </w:r>
      <m:oMath>
        <m:sSup>
          <m:e>
            <m:r>
              <m:t>​</m:t>
            </m:r>
          </m:e>
          <m:sup>
            <m:r>
              <m:t>1</m:t>
            </m:r>
          </m:sup>
        </m:sSup>
      </m:oMath>
    </w:p>
    <w:p>
      <w:pPr>
        <w:pStyle w:val="Author"/>
      </w:pPr>
      <w:r>
        <w:rPr>
          <w:b/>
          <w:bCs/>
        </w:rPr>
        <w:t xml:space="preserve">Angelina E. Merzlikina</w:t>
      </w:r>
      <m:oMath>
        <m:sSup>
          <m:e>
            <m:r>
              <m:t>​</m:t>
            </m:r>
          </m:e>
          <m:sup>
            <m:r>
              <m:t>1</m:t>
            </m:r>
          </m:sup>
        </m:sSup>
      </m:oMath>
      <w:r>
        <w:t xml:space="preserve"> </w:t>
      </w:r>
      <w:r>
        <w:t xml:space="preserve"> </w:t>
      </w:r>
      <w:r>
        <w:rPr>
          <w:vertAlign w:val="superscript"/>
        </w:rPr>
        <w:t xml:space="preserve">0009-0000-5051-346X</w:t>
      </w:r>
    </w:p>
    <w:p>
      <w:pPr>
        <w:pStyle w:val="Author"/>
      </w:pPr>
      <w:r>
        <w:rPr>
          <w:b/>
          <w:bCs/>
        </w:rPr>
        <w:t xml:space="preserve">Mariya N. Kulinich</w:t>
      </w:r>
      <m:oMath>
        <m:sSup>
          <m:e>
            <m:r>
              <m:t>​</m:t>
            </m:r>
          </m:e>
          <m:sup>
            <m:r>
              <m:t>4</m:t>
            </m:r>
          </m:sup>
        </m:sSup>
      </m:oMath>
      <w:r>
        <w:br/>
      </w:r>
      <m:oMath>
        <m:sSup>
          <m:e>
            <m:r>
              <m:t>​</m:t>
            </m:r>
          </m:e>
          <m:sup>
            <m:r>
              <m:t>1</m:t>
            </m:r>
          </m:sup>
        </m:sSup>
      </m:oMath>
      <w:r>
        <w:t xml:space="preserve">World-Class Research Centre "Agroengineering of the Future", Don State Technical University, 1 Gagarin Square, 344003 Rostov-on-Don, Russia; inaumov@donstu.ru (I.I.N.); mlyashov@donstu.ru (M.V.L.); atchernyaev@donstu.ru (A.T.C.); echernyaeva@donstu.ru (E.O.C.); mharina@donstu.ru (M.S.Kh.); aelevchenko@donstu.ru (A.E.M.)</w:t>
      </w:r>
      <w:r>
        <w:br/>
      </w:r>
      <m:oMath>
        <m:sSup>
          <m:e>
            <m:r>
              <m:t>​</m:t>
            </m:r>
          </m:e>
          <m:sup>
            <m:r>
              <m:t>2</m:t>
            </m:r>
          </m:sup>
        </m:sSup>
      </m:oMath>
      <w:r>
        <w:t xml:space="preserve">Department of Hydraulics, Hydropneumatic Automation and Thermal Processes, Don State Technical University, 1 Gagarin Square, 344003 Rostov-on-Don, Russia; Mkilina@donstu.ru (M.S.K.)</w:t>
      </w:r>
      <w:r>
        <w:br/>
      </w:r>
      <m:oMath>
        <m:sSup>
          <m:e>
            <m:r>
              <m:t>​</m:t>
            </m:r>
          </m:e>
          <m:sup>
            <m:r>
              <m:t>3</m:t>
            </m:r>
          </m:sup>
        </m:sSup>
      </m:oMath>
      <w:r>
        <w:t xml:space="preserve">Department of Cybersecurity of Information Systems, Don State Technical University, 1 Gagarin Square, 344003 Rostov-on-Don, Russia; mpismenskova@donstu.ru (M.M.Z.)</w:t>
      </w:r>
      <w:r>
        <w:br/>
      </w:r>
      <m:oMath>
        <m:sSup>
          <m:e>
            <m:r>
              <m:t>​</m:t>
            </m:r>
          </m:e>
          <m:sup>
            <m:r>
              <m:t>4</m:t>
            </m:r>
          </m:sup>
        </m:sSup>
      </m:oMath>
      <w:r>
        <w:t xml:space="preserve">Research Administration Office, Don State Technical University, 1 Gagarin Square, 344003 Rostov-on-Don, Russia; mkulinich@donstu.ru (M.N.K.)</w:t>
      </w:r>
      <w:r>
        <w:br/>
      </w:r>
      <m:oMath>
        <m:sSup>
          <m:e>
            <m:r>
              <m:t>​</m:t>
            </m:r>
          </m:e>
          <m:sup>
            <m:r>
              <m:rPr>
                <m:sty m:val="p"/>
              </m:rPr>
              <m:t>*</m:t>
            </m:r>
          </m:sup>
        </m:sSup>
      </m:oMath>
      <w:r>
        <w:t xml:space="preserve">Correspondence: inaumov@donstu.ru</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fifteen controllers were</w:t>
      </w:r>
      <w:r>
        <w:t xml:space="preserve"> </w:t>
      </w:r>
      <w:r>
        <w:t xml:space="preserve">compared over four 60-day test seasons with up to 20 identification replicates.</w:t>
      </w:r>
      <w:r>
        <w:t xml:space="preserve"> </w:t>
      </w:r>
      <w:r>
        <w:t xml:space="preserve">Outcomes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6"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inputs are optimised over a finite horizon subject to temperature, humidity and</w:t>
      </w:r>
      <w:r>
        <w:t xml:space="preserve"> </w:t>
      </w:r>
      <w:r>
        <w:t xml:space="preserve">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not demonstrations of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The third assumption is precisely what identification-for-control research warns against:</w:t>
      </w:r>
      <w:r>
        <w:t xml:space="preserve"> </w:t>
      </w:r>
      <w:r>
        <w:t xml:space="preserve">a model should be judged by the loop it closes, not by open-loop fit alone</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auto" w:w="0"/>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2640"/>
        <w:gridCol w:w="2640"/>
        <w:gridCol w:w="2640"/>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[30–32],</w:t>
      </w:r>
      <w:r>
        <w:t xml:space="preserve"> </w:t>
      </w:r>
      <w:r>
        <w:t xml:space="preserve">a full-simulator-model MPC and the rule-based heuristic in both</w:t>
      </w:r>
      <w:r>
        <w:t xml:space="preserve"> </w:t>
      </w:r>
      <w:r>
        <w:t xml:space="preserve">its stock and tuned configurations – over four held-out test seasons.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one-sample against a constant rather than genuinely paired. The</w:t>
      </w:r>
      <w:r>
        <w:t xml:space="preserve"> </w:t>
      </w:r>
      <w:r>
        <w:t xml:space="preserve">contributions are four.</w:t>
      </w:r>
    </w:p>
    <w:p>
      <w:pPr>
        <w:pStyle w:val="Body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rPr>
          <w:b/>
          <w:bCs/>
        </w:rPr>
        <w:t xml:space="preserve">(ii) The effect of physically motivated features is non-monotone.</w:t>
      </w:r>
      <w:r>
        <w:t xml:space="preserve"> </w:t>
      </w:r>
      <w:r>
        <w:t xml:space="preserve">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rPr>
          <w:b/>
          <w:bCs/>
        </w:rPr>
        <w:t xml:space="preserve">(iii) Benchmarking safeguards materially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 unsearched reference</w:t>
      </w:r>
      <w:r>
        <w:t xml:space="preserve"> </w:t>
      </w:r>
      <w:r>
        <w:t xml:space="preserve">the same advantage would read</w:t>
      </w:r>
      <w:r>
        <w:t xml:space="preserve"> </w:t>
      </w:r>
      <m:oMath>
        <m:r>
          <m:rPr>
            <m:sty m:val="p"/>
          </m:rPr>
          <m:t>+</m:t>
        </m:r>
        <m:r>
          <m:t>5.54</m:t>
        </m:r>
      </m:oMath>
      <w:r>
        <w:t xml:space="preserve">, demonstrating the sensitivity of the headline</w:t>
      </w:r>
      <w:r>
        <w:t xml:space="preserve"> </w:t>
      </w:r>
      <w:r>
        <w:t xml:space="preserve">comparison to baseline tuning. 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 gates the outcome but does not order 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2.52</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Body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not estimates of</w:t>
      </w:r>
      <w:r>
        <w:t xml:space="preserve"> </w:t>
      </w:r>
      <w:r>
        <w:t xml:space="preserve">field-scale benefit or recommendations for direct commercial 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Heading1"/>
      </w:pPr>
      <w:r>
        <w:t xml:space="preserve">Materials and Methods</w:t>
      </w:r>
    </w:p>
    <w:bookmarkStart w:id="27"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[28]. Evaluation rollouts carry no excitation.</w:t>
      </w:r>
    </w:p>
    <w:bookmarkEnd w:id="27"/>
    <w:bookmarkStart w:id="28"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Body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29"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auto" w:w="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640"/>
        <w:gridCol w:w="2640"/>
        <w:gridCol w:w="2640"/>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PPO [30] and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bl>
    <w:bookmarkEnd w:id="29"/>
    <w:p>
      <w:pPr>
        <w:pStyle w:val="Body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is not an</w:t>
      </w:r>
      <w:r>
        <w:t xml:space="preserve"> </w:t>
      </w:r>
      <w:r>
        <w:t xml:space="preserve">unsearched baseline. That match is a stated budget, not a measured search trace: here the</w:t>
      </w:r>
      <w:r>
        <w:t xml:space="preserve"> </w:t>
      </w:r>
      <w:r>
        <w:t xml:space="preserve">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 not tuned for any predictive controller either; that asymmetry runs</w:t>
      </w:r>
      <w:r>
        <w:t xml:space="preserve"> </w:t>
      </w:r>
      <w:r>
        <w:t xml:space="preserve">against the MPC family and is disclosed in the Discussion.</w:t>
      </w:r>
    </w:p>
    <w:bookmarkEnd w:id="30"/>
    <w:bookmarkStart w:id="31"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1"/>
    <w:bookmarkStart w:id="32" w:name="sec:ladder"/>
    <w:p>
      <w:pPr>
        <w:pStyle w:val="Heading2"/>
      </w:pPr>
      <w:r>
        <w:t xml:space="preserve">Identification ladder and pre-specified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 The protocol that</w:t>
      </w:r>
      <w:r>
        <w:t xml:space="preserve"> </w:t>
      </w:r>
      <w:r>
        <w:t xml:space="preserve">fixed these criteria is included in the archived replication package.</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isolating the relative actuator weights while preserving the overall</w:t>
      </w:r>
      <w:r>
        <w:t xml:space="preserve"> </w:t>
      </w:r>
      <w:r>
        <w:t xml:space="preserve">resource–corridor balance.</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have not been re-evaluated under the price-aligned weights.</w:t>
      </w:r>
    </w:p>
    <w:bookmarkEnd w:id="33"/>
    <w:bookmarkStart w:id="35"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1.936</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4"/>
    <w:p>
      <w:pPr>
        <w:pStyle w:val="Body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5"/>
    <w:bookmarkStart w:id="36"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Body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6"/>
    <w:bookmarkStart w:id="37"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One caveat qualifies every reproducibility statement here, and it is a limit on what was</w:t>
      </w:r>
      <w:r>
        <w:t xml:space="preserve"> </w:t>
      </w:r>
      <w:r>
        <w:t xml:space="preserve">measured rather than a measurement. The self-test establishes bit-identity within</w:t>
      </w:r>
      <w:r>
        <w:t xml:space="preserve"> </w:t>
      </w:r>
      <w:r>
        <w:t xml:space="preserve">one environment. Nothing in the results tree establishes it across 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Body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 a priori.</w:t>
      </w:r>
      <w:r>
        <w:t xml:space="preserve"> </w:t>
      </w:r>
      <w:r>
        <w:t xml:space="preserve">The rule adopted here is therefore that a whole wave is regenerated in one environment</w:t>
      </w:r>
      <w:r>
        <w:t xml:space="preserve"> </w:t>
      </w:r>
      <w:r>
        <w:t xml:space="preserve">and is never mixed cell-by-cell with another for closed-loop numbers. Because the</w:t>
      </w:r>
      <w:r>
        <w:t xml:space="preserve"> </w:t>
      </w:r>
      <w:r>
        <w:t xml:space="preserve">environment itself is not recorded in the manifests, this provenance scheme cannot support</w:t>
      </w:r>
      <w:r>
        <w:t xml:space="preserve"> </w:t>
      </w:r>
      <w:r>
        <w:t xml:space="preserve">a cross-platform guarantee; the reproducibility claim is within-environment only.</w:t>
      </w:r>
    </w:p>
    <w:bookmarkEnd w:id="37"/>
    <w:bookmarkEnd w:id="38"/>
    <w:bookmarkStart w:id="73"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4"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 not 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 the library with the best one-step accuracy</w:t>
      </w:r>
      <w:r>
        <w:t xml:space="preserve"> </w:t>
      </w:r>
      <w:r>
        <w:t xml:space="preserve">is the worst on every multi-step metric,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pre-specified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pre-specified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pre-specified axes – 63rd of 72 on median rollout error, 64th on divergence</w:t>
      </w:r>
      <w:r>
        <w:t xml:space="preserve"> </w:t>
      </w:r>
      <w:r>
        <w:t xml:space="preserv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39" w:name="tab:ladder"/>
    <w:p>
      <w:pPr>
        <w:pStyle w:val="TableCaption"/>
      </w:pP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optimizer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gridSpan w:val="7"/>
          </w:tcPr>
          <w:p>
            <w:pPr>
              <w:pStyle w:val="Compact"/>
              <w:jc w:val="left"/>
            </w:pPr>
            <w:r>
              <w:rPr>
                <w:i/>
                <w:iCs/>
              </w:rPr>
              <w:t xml:space="preserve">Sparse estimators only (STLSQ, ensemble)</w:t>
            </w: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39"/>
    <w:bookmarkStart w:id="43" w:name="fig:kappa"/>
    <w:p>
      <w:pPr>
        <w:pStyle w:val="Captioned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ImageCaption"/>
      </w:pP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5"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Body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pre-declared family of 15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BodyText"/>
      </w:pPr>
      <w:r>
        <w:t xml:space="preserve">The comparison of default and price-aligned stage costs is itself a result. Matched on</w:t>
      </w:r>
      <w:r>
        <w:t xml:space="preserve"> </w:t>
      </w:r>
      <w:r>
        <w:t xml:space="preserve">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7"/>
    <w:p>
      <w:pPr>
        <w:pStyle w:val="Body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8" w:name="tab:wilcoxon"/>
    <w:p>
      <w:pPr>
        <w:pStyle w:val="TableCaption"/>
      </w:pP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Table"/>
        <w:tblW w:type="auto" w:w="0"/>
        <w:tblLook w:firstRow="1" w:lastRow="0" w:firstColumn="0" w:lastColumn="0" w:noHBand="0" w:noVBand="0" w:val="0020"/>
        <w:tblCaption w:val="Paired comparison against the tuned rule-based reference (priced objective). \Delta = \text{controller} - \text{tuned} in EUR m^{-2}; Wilcoxon signed-rank [33] with Holm correction [34]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Pr>
      <w:tblGrid>
        <w:gridCol w:w="1584"/>
        <w:gridCol w:w="1584"/>
        <w:gridCol w:w="1584"/>
        <w:gridCol w:w="1584"/>
        <w:gridCol w:w="1584"/>
      </w:tblGrid>
      <w:tr>
        <w:trPr>
          <w:tblHeader w:val="on"/>
        </w:trP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r>
    </w:tbl>
    <w:bookmarkEnd w:id="48"/>
    <w:bookmarkStart w:id="52" w:name="fig:pareto"/>
    <w:p>
      <w:pPr>
        <w:pStyle w:val="CaptionedFigure"/>
      </w:pPr>
      <w:r>
        <w:drawing>
          <wp:inline>
            <wp:extent cx="6124495" cy="378430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84303"/>
                    </a:xfrm>
                    <a:prstGeom prst="rect">
                      <a:avLst/>
                    </a:prstGeom>
                    <a:noFill/>
                    <a:ln w="9525">
                      <a:noFill/>
                      <a:headEnd/>
                      <a:tailEnd/>
                    </a:ln>
                  </pic:spPr>
                </pic:pic>
              </a:graphicData>
            </a:graphic>
          </wp:inline>
        </w:drawing>
      </w:r>
    </w:p>
    <w:p>
      <w:pPr>
        <w:pStyle w:val="ImageCaption"/>
      </w:pPr>
      <w:r>
        <w:t xml:space="preserve">Simulated seasonal margin against constraint-violation 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 5 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p>
    <w:bookmarkEnd w:id="52"/>
    <w:bookmarkEnd w:id="53"/>
    <w:bookmarkStart w:id="55"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 below 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 hard-coded 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TableCaption"/>
      </w:pPr>
      <w:r>
        <w:t xml:space="preserve">Four seasons never used at any stage, original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original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0.54</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4"/>
    <w:p>
      <w:pPr>
        <w:pStyle w:val="Body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Heading2"/>
      </w:pPr>
      <w:r>
        <w:t xml:space="preserve">Mechanism</w:t>
      </w:r>
    </w:p>
    <w:p>
      <w:pPr>
        <w:pStyle w:val="FirstParagraph"/>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[28] and as expected from the identification-for-control literature</w:t>
      </w:r>
      <w:r>
        <w:t xml:space="preserve"> </w:t>
      </w:r>
      <w:r>
        <w:t xml:space="preserve">[19–20].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Body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 direct 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w:t>
      </w:r>
      <w:r>
        <w:t xml:space="preserve"> </w:t>
      </w:r>
      <w:r>
        <w:t xml:space="preserve">the ensemble estimator)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Body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gridSpan w:val="7"/>
          </w:tcPr>
          <w:p>
            <w:pPr>
              <w:pStyle w:val="Compact"/>
              <w:jc w:val="left"/>
            </w:pPr>
            <w:r>
              <w:rPr>
                <w:i/>
                <w:iCs/>
              </w:rPr>
              <w:t xml:space="preserve">STLSQ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6"/>
    <w:p>
      <w:pPr>
        <w:pStyle w:val="Body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(original)</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2.00</m:t>
              </m:r>
            </m:oMath>
            <w:r>
              <w:t xml:space="preserve">​</w:t>
            </w:r>
          </w:p>
        </w:tc>
        <w:tc>
          <w:tcPr/>
          <w:p>
            <w:pPr>
              <w:pStyle w:val="Compact"/>
              <w:jc w:val="center"/>
            </w:pPr>
            <m:oMath>
              <m:r>
                <m:t>4.39</m:t>
              </m:r>
              <m:r>
                <m:rPr>
                  <m:sty m:val="p"/>
                </m:rPr>
                <m:t>±</m:t>
              </m:r>
              <m:r>
                <m:t>1.46</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7"/>
    <w:p/>
    <w:bookmarkStart w:id="58"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Table"/>
        <w:tblW w:type="auto" w:w="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Pr>
      <w:tblGrid>
        <w:gridCol w:w="1320"/>
        <w:gridCol w:w="1320"/>
        <w:gridCol w:w="1320"/>
        <w:gridCol w:w="1320"/>
        <w:gridCol w:w="1320"/>
        <w:gridCol w:w="1320"/>
      </w:tblGrid>
      <w:tr>
        <w:trPr>
          <w:tblHeader w:val="on"/>
        </w:trPr>
        <w:tc>
          <w:tcPr/>
          <w:p>
            <w:pPr>
              <w:pStyle w:val="Compact"/>
            </w:pPr>
          </w:p>
        </w:tc>
        <w:tc>
          <w:tcPr>
            <w:gridSpan w:val="2"/>
          </w:tcPr>
          <w:p>
            <w:pPr>
              <w:pStyle w:val="Compact"/>
              <w:jc w:val="center"/>
            </w:pPr>
            <w:r>
              <w:t xml:space="preserve">Original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2-3</w:t>
            </w:r>
            <w:r>
              <w:t xml:space="preserve">(lr)</w:t>
            </w:r>
            <w:r>
              <w:t xml:space="preserve">4-5</w:t>
            </w:r>
            <w:r>
              <w:t xml:space="preserve"> </w:t>
            </w: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8"/>
    <w:p>
      <w:pPr>
        <w:pStyle w:val="Body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Captioned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Heading2"/>
      </w:pPr>
      <w:r>
        <w:t xml:space="preserve">Alternative explanations</w:t>
      </w:r>
    </w:p>
    <w:p>
      <w:pPr>
        <w:pStyle w:val="FirstParagraph"/>
      </w:pPr>
      <w:r>
        <w:t xml:space="preserve">Model accuracy is not the binding constraint. 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price-aligned surrogate cost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Body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Body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4"/>
    <w:bookmarkStart w:id="66"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[41]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 worse 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[44],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Body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5"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18.28</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4.53</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5"/>
    <w:bookmarkEnd w:id="66"/>
    <w:bookmarkStart w:id="72"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 all 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7"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8.12</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7"/>
    <w:bookmarkStart w:id="71" w:name="fig:perturb"/>
    <w:p>
      <w:pPr>
        <w:pStyle w:val="CaptionedFigure"/>
      </w:pPr>
      <w:r>
        <w:drawing>
          <wp:inline>
            <wp:extent cx="5703169"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703169" cy="2636341"/>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Heading1"/>
      </w:pPr>
      <w:r>
        <w:t xml:space="preserve">Discussion</w:t>
      </w:r>
    </w:p>
    <w:bookmarkStart w:id="74"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 –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 </w:t>
      </w:r>
      <w:r>
        <w:t xml:space="preserve">– 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 –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but is not a</w:t>
      </w:r>
      <w:r>
        <w:t xml:space="preserve"> </w:t>
      </w:r>
      <w:r>
        <w:t xml:space="preserve">sufficient explanation for the non-monotone closed-loop economics.</w:t>
      </w:r>
    </w:p>
    <w:p>
      <w:pPr>
        <w:pStyle w:val="Body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BodyText"/>
      </w:pPr>
      <w:r>
        <w:t xml:space="preserve">The controlled evidence for that reading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 both</w:t>
      </w:r>
      <w:r>
        <w:t xml:space="preserve"> </w:t>
      </w:r>
      <w:r>
        <w:t xml:space="preserve">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 survival is a property of each fit, not a randomised</w:t>
      </w:r>
      <w:r>
        <w:t xml:space="preserve"> </w:t>
      </w:r>
      <w:r>
        <w:t xml:space="preserve">factor, and it is confounded with recipe – so the conservative reading is that</w:t>
      </w:r>
      <w:r>
        <w:t xml:space="preserve"> </w:t>
      </w:r>
      <w:r>
        <w:t xml:space="preserve">survival marks which fits collapse rather than measuring the whole library effect.</w:t>
      </w:r>
    </w:p>
    <w:p>
      <w:pPr>
        <w:pStyle w:val="BodyText"/>
      </w:pPr>
      <w:r>
        <w:t xml:space="preserve">One plausible explanation for why the middle library is worse than both of its</w:t>
      </w:r>
      <w:r>
        <w:t xml:space="preserve"> </w:t>
      </w:r>
      <w:r>
        <w:t xml:space="preserve">neighbours is that the library without cross terms carries enough collinearity for</w:t>
      </w:r>
      <w:r>
        <w:t xml:space="preserve"> </w:t>
      </w:r>
      <w:r>
        <w:t xml:space="preserve">the threshold to destabilise the direct boiler term, but – unlike the full</w:t>
      </w:r>
      <w:r>
        <w:t xml:space="preserve"> </w:t>
      </w:r>
      <w:r>
        <w:t xml:space="preserve">library – 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rPr>
          <w:b/>
          <w:bCs/>
        </w:rPr>
        <w:t xml:space="preserve">The term-deletion test rejects this detour explanation.</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 the only one of the four cross terms that</w:t>
      </w:r>
      <w:r>
        <w:t xml:space="preserve"> </w:t>
      </w:r>
      <w:r>
        <w:t xml:space="preserve">touches the boiler – 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t>
      </w:r>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Heading2"/>
      </w:pPr>
      <w:r>
        <w:t xml:space="preserve">A cheap open-loop rule for selecting a control-oriented surrogate</w:t>
      </w:r>
    </w:p>
    <w:p>
      <w:pPr>
        <w:pStyle w:val="FirstParagraph"/>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 – both computed on the identification data in</w:t>
      </w:r>
      <w:r>
        <w:t xml:space="preserve"> </w:t>
      </w:r>
      <w:r>
        <w:t xml:space="preserve">seconds, before any closed-loop season is simulated – 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pre-specified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The strength of that claim must be stated at the resolution the three libraries</w:t>
      </w:r>
      <w:r>
        <w:t xml:space="preserve"> </w:t>
      </w:r>
      <w:r>
        <w:t xml:space="preserve">allow. Over the series, the screen identifies the closed-loop winner and</w:t>
      </w:r>
      <w:r>
        <w:t xml:space="preserve"> </w:t>
      </w:r>
      <w:r>
        <w:t xml:space="preserve">one-step accuracy ranks that same winner last;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 – not a rank correlation across the series.</w:t>
      </w:r>
    </w:p>
    <w:p>
      <w:pPr>
        <w:pStyle w:val="Body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 – it</w:t>
      </w:r>
      <w:r>
        <w:t xml:space="preserve"> </w:t>
      </w:r>
      <w:r>
        <w:t xml:space="preserve">inspects numbers already computed – 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The ladder’s rollout value is a comparator,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t xml:space="preserve">evaluation 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Body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 –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t>
      </w:r>
      <w:r>
        <w:t xml:space="preserve">– while neither group buys back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5"/>
    <w:bookmarkStart w:id="76" w:name="sec:disc-sparsity"/>
    <w:p>
      <w:pPr>
        <w:pStyle w:val="Heading2"/>
      </w:pPr>
      <w:r>
        <w:t xml:space="preserve">Sparsity is exonerated</w:t>
      </w:r>
    </w:p>
    <w:p>
      <w:pPr>
        <w:pStyle w:val="FirstParagraph"/>
      </w:pPr>
      <w:r>
        <w:t xml:space="preserve">The winner is the sparser model on both counts –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w:t>
      </w:r>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 – bagged ensemble and plain sequential thresholded least</w:t>
      </w:r>
      <w:r>
        <w:t xml:space="preserve"> </w:t>
      </w:r>
      <w:r>
        <w:t xml:space="preserve">squares –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6"/>
    <w:bookmarkStart w:id="77"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 – 16 random trials, selection on the training years</w:t>
      </w:r>
      <w:r>
        <w:t xml:space="preserve"> </w:t>
      </w:r>
      <w:r>
        <w:t xml:space="preserve">only –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the</w:t>
      </w:r>
      <w:r>
        <w:t xml:space="preserve"> </w:t>
      </w:r>
      <w:r>
        <w:t xml:space="preserve">stock configuration sat at the 88th percentile of its own search space: it was a credible</w:t>
      </w:r>
      <w:r>
        <w:t xml:space="preserve"> </w:t>
      </w:r>
      <w:r>
        <w:t xml:space="preserve">agronomic baseline 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The practical</w:t>
      </w:r>
      <w:r>
        <w:t xml:space="preserve"> </w:t>
      </w:r>
      <w:r>
        <w:t xml:space="preserve">implication is nevertheless clear: a greenhouse-controller benchmark should use a tuned</w:t>
      </w:r>
      <w:r>
        <w:t xml:space="preserve"> </w:t>
      </w:r>
      <w:r>
        <w:t xml:space="preserve">agronomic reference and site-relevant energy and CO</w:t>
      </w:r>
      <m:oMath>
        <m:sSub>
          <m:e>
            <m:r>
              <m:t>​</m:t>
            </m:r>
          </m:e>
          <m:sub>
            <m:r>
              <m:t>2</m:t>
            </m:r>
          </m:sub>
        </m:sSub>
      </m:oMath>
      <w:r>
        <w:t xml:space="preserve"> </w:t>
      </w:r>
      <w:r>
        <w:t xml:space="preserve">prices before attributing an</w:t>
      </w:r>
      <w:r>
        <w:t xml:space="preserve"> </w:t>
      </w:r>
      <w:r>
        <w:t xml:space="preserve">economic difference to the surrogate model class.</w:t>
      </w:r>
    </w:p>
    <w:bookmarkEnd w:id="77"/>
    <w:bookmarkStart w:id="78" w:name="sec:disc-related"/>
    <w:p>
      <w:pPr>
        <w:pStyle w:val="Heading2"/>
      </w:pPr>
      <w:r>
        <w:t xml:space="preserve">Relation to prior work</w:t>
      </w:r>
    </w:p>
    <w:p>
      <w:pPr>
        <w:pStyle w:val="FirstParagraph"/>
      </w:pPr>
      <w:r>
        <w:t xml:space="preserve">The finding instantiates the identification-for-control programme – model</w:t>
      </w:r>
      <w:r>
        <w:t xml:space="preserve"> </w:t>
      </w:r>
      <w:r>
        <w:t xml:space="preserve">quality cannot be judged independently of the control task the model</w:t>
      </w:r>
      <w:r>
        <w:t xml:space="preserve"> </w:t>
      </w:r>
      <w:r>
        <w:t xml:space="preserve">serves  [18–20,25,46] –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 not 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 – a</w:t>
      </w:r>
      <w:r>
        <w:t xml:space="preserve"> </w:t>
      </w:r>
      <w:r>
        <w:t xml:space="preserve">point on which library optimisation scored by recursive long-term</w:t>
      </w:r>
      <w:r>
        <w:t xml:space="preserve"> </w:t>
      </w:r>
      <w:r>
        <w:t xml:space="preserve">prediction  [17] converges from the opposite direction.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Heading2"/>
      </w:pPr>
      <w:r>
        <w:t xml:space="preserve">Limitations</w:t>
      </w:r>
    </w:p>
    <w:p>
      <w:pPr>
        <w:numPr>
          <w:ilvl w:val="0"/>
          <w:numId w:val="1002"/>
        </w:numPr>
      </w:pPr>
      <w:r>
        <w:rPr>
          <w:b/>
          <w:bCs/>
        </w:rPr>
        <w:t xml:space="preserve">There is no physical-greenhouse validation.</w:t>
      </w:r>
      <w:r>
        <w:t xml:space="preserve"> </w:t>
      </w:r>
      <w:r>
        <w:t xml:space="preserve">Every climate trajectory,</w:t>
      </w:r>
      <w:r>
        <w:t xml:space="preserve"> </w:t>
      </w:r>
      <w:r>
        <w:t xml:space="preserve">crop response, resource use and margin is generated by GreenLight under ERA5-derived</w:t>
      </w:r>
      <w:r>
        <w:t xml:space="preserve"> </w:t>
      </w:r>
      <w:r>
        <w:t xml:space="preserve">weather. The published evaluation of GreenLight supports its use as a common testbed, but</w:t>
      </w:r>
      <w:r>
        <w:t xml:space="preserve"> </w:t>
      </w:r>
      <w:r>
        <w:t xml:space="preserve">does not validate the controllers developed here. The comparison excludes unmodelled</w:t>
      </w:r>
      <w:r>
        <w:t xml:space="preserve"> </w:t>
      </w:r>
      <w:r>
        <w:t xml:space="preserve">sensor bias, actuator wear and delay, crop heterogeneity, pests and disease, and operational</w:t>
      </w:r>
      <w:r>
        <w:t xml:space="preserve"> </w:t>
      </w:r>
      <w:r>
        <w:t xml:space="preserve">intervention by growers. Absolute EUR m</w:t>
      </w:r>
      <m:oMath>
        <m:sSup>
          <m:e>
            <m:r>
              <m:t>​</m:t>
            </m:r>
          </m:e>
          <m:sup>
            <m:r>
              <m:rPr>
                <m:sty m:val="p"/>
              </m:rPr>
              <m:t>−</m:t>
            </m:r>
            <m:r>
              <m:t>2</m:t>
            </m:r>
          </m:sup>
        </m:sSup>
      </m:oMath>
      <w:r>
        <w:t xml:space="preserve"> </w:t>
      </w:r>
      <w:r>
        <w:t xml:space="preserve">values should therefore be read as outputs</w:t>
      </w:r>
      <w:r>
        <w:t xml:space="preserve"> </w:t>
      </w:r>
      <w:r>
        <w:t xml:space="preserve">of the virtual experiment; only comparative behaviour within the stated model and price</w:t>
      </w:r>
      <w:r>
        <w:t xml:space="preserve"> </w:t>
      </w:r>
      <w:r>
        <w:t xml:space="preserve">assumptions is established. Hardware-in-the-loop testing followed by a greenhouse pilot</w:t>
      </w:r>
      <w:r>
        <w:t xml:space="preserve"> </w:t>
      </w:r>
      <w:r>
        <w:t xml:space="preserve">with independently measured climate, energy use and marketable yield is required before</w:t>
      </w:r>
      <w:r>
        <w:t xml:space="preserve"> </w:t>
      </w:r>
      <w:r>
        <w:t xml:space="preserve">deployment.</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 – 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 – 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of Table </w:t>
      </w:r>
      <w:hyperlink w:anchor="tab:wilcoxon">
        <w:r>
          <w:rPr>
            <w:rStyle w:val="Hyperlink"/>
          </w:rPr>
          <w:t xml:space="preserve">7</w:t>
        </w:r>
      </w:hyperlink>
      <w:r>
        <w:t xml:space="preserve"> </w:t>
      </w:r>
      <w:r>
        <w:t xml:space="preserve">– the raw-library ensemble against</w:t>
      </w:r>
      <w:r>
        <w:t xml:space="preserve"> </w:t>
      </w:r>
      <w:r>
        <w:t xml:space="preserve">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w:t>
      </w:r>
      <w:r>
        <w:t xml:space="preserve"> </w:t>
      </w:r>
      <w:r>
        <w:t xml:space="preserve">physics-informed variant against 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w:t>
      </w:r>
      <w:r>
        <w:t xml:space="preserve">–</w:t>
      </w:r>
      <w:r>
        <w:t xml:space="preserve"> </w:t>
      </w:r>
      <w:r>
        <w:t xml:space="preserve">without any controller crossing</w:t>
      </w:r>
      <w:r>
        <w:t xml:space="preserve"> </w:t>
      </w:r>
      <m:oMath>
        <m:r>
          <m:t>0.05</m:t>
        </m:r>
      </m:oMath>
      <w:r>
        <w:t xml:space="preserve">. The paired raw-versus-physics contrast of</w:t>
      </w:r>
      <w:r>
        <w:t xml:space="preserve"> </w:t>
      </w:r>
      <w:r>
        <w:t xml:space="preserve">Section </w:t>
      </w:r>
      <w:hyperlink w:anchor="sec:res-main">
        <w:r>
          <w:rPr>
            <w:rStyle w:val="Hyperlink"/>
          </w:rPr>
          <w:t xml:space="preserve">3.3</w:t>
        </w:r>
      </w:hyperlink>
      <w:r>
        <w:t xml:space="preserve"> </w:t>
      </w:r>
      <w:r>
        <w:t xml:space="preserve">is the exception that shows the rule: it sits at</w:t>
      </w:r>
      <w:r>
        <w:t xml:space="preserve"> </w:t>
      </w:r>
      <m:oMath>
        <m:r>
          <m:t>7.7</m:t>
        </m:r>
        <m:r>
          <m:rPr>
            <m:sty m:val="p"/>
          </m:rPr>
          <m:t>×</m:t>
        </m:r>
        <m:sSup>
          <m:e>
            <m:r>
              <m:t>10</m:t>
            </m:r>
          </m:e>
          <m:sup>
            <m:r>
              <m:rPr>
                <m:sty m:val="p"/>
              </m:rPr>
              <m:t>−</m:t>
            </m:r>
            <m:r>
              <m:t>4</m:t>
            </m:r>
          </m:sup>
        </m:sSup>
      </m:oMath>
      <w:r>
        <w:t xml:space="preserve"> </w:t>
      </w:r>
      <w:r>
        <w:t xml:space="preserve">under both families, because enlarging the family moved nothing</w:t>
      </w:r>
      <w:r>
        <w:t xml:space="preserve"> </w:t>
      </w:r>
      <w:r>
        <w:t xml:space="preserve">below it.</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 – all 20 runs exhausted the solver-failure budget – 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 measured, not manipulated,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w:t>
      </w:r>
      <w:r>
        <w:t xml:space="preserve">– 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 – the term-deletion probe below – 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 – 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 – 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use the default objective.</w:t>
      </w:r>
      <w:r>
        <w:t xml:space="preserve"> </w:t>
      </w:r>
      <w:r>
        <w:t xml:space="preserve">The support</w:t>
      </w:r>
      <w:r>
        <w:t xml:space="preserve"> </w:t>
      </w:r>
      <w:r>
        <w:t xml:space="preserve">harness hard-codes the default stage cost, so those sensitivities do not test the</w:t>
      </w:r>
      <w:r>
        <w:t xml:space="preserve"> </w:t>
      </w:r>
      <w:r>
        <w:t xml:space="preserve">price-aligned formulation. Under the default objective, perturbing identified coefficients</w:t>
      </w:r>
      <w:r>
        <w:t xml:space="preserve"> </w:t>
      </w:r>
      <w:r>
        <w:t xml:space="preserve">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 – 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 – 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 unknown: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 – the two harnesses score the</w:t>
      </w:r>
      <w:r>
        <w:t xml:space="preserve"> </w:t>
      </w:r>
      <w:r>
        <w:t xml:space="preserve">deterministic 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Additional scope limits.</w:t>
      </w:r>
      <w:r>
        <w:t xml:space="preserve"> </w:t>
      </w:r>
      <w:r>
        <w:t xml:space="preserve">One location, one planting date, one crop model</w:t>
      </w:r>
      <w:r>
        <w:t xml:space="preserve"> </w:t>
      </w:r>
      <w:r>
        <w:t xml:space="preserve">and one weather source are represented. The ranking is not price-invariant: two different</w:t>
      </w:r>
      <w:r>
        <w:t xml:space="preserve"> </w:t>
      </w:r>
      <w:r>
        <w:t xml:space="preserve">controllers win across a nine-point grid of fruit and energy prices – 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79"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 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 open-loop 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 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1.89</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1.76</w:t>
            </w:r>
          </w:p>
        </w:tc>
        <w:tc>
          <w:tcPr/>
          <w:p>
            <w:pPr>
              <w:pStyle w:val="Compact"/>
              <w:jc w:val="center"/>
            </w:pPr>
            <w:r>
              <w:t xml:space="preserve">21.57 [15.56, 31.74]</w:t>
            </w:r>
          </w:p>
        </w:tc>
        <w:tc>
          <w:tcPr/>
          <w:p>
            <w:pPr>
              <w:pStyle w:val="Compact"/>
              <w:jc w:val="center"/>
            </w:pPr>
            <w:r>
              <w:t xml:space="preserve">0.086</w:t>
            </w:r>
          </w:p>
        </w:tc>
      </w:tr>
    </w:tbl>
    <w:bookmarkEnd w:id="79"/>
    <w:p/>
    <w:bookmarkStart w:id="80"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auto" w:w="0"/>
        <w:tblLook w:firstRow="1" w:lastRow="0" w:firstColumn="0" w:lastColumn="0" w:noHBand="0" w:noVBand="0" w:val="0020"/>
        <w:tblCaption w:val="Sensitivity of the headline comparison to two benchmarking safeguards. EPI is the simulated seasonal margin returned by the virtual greenhouse."/>
      </w:tblPr>
      <w:tblGrid>
        <w:gridCol w:w="2640"/>
        <w:gridCol w:w="2640"/>
        <w:gridCol w:w="2640"/>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Captioned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ImageCaption"/>
      </w:pP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 rather than conditioning alone – best tracks the non-monotone economic</w:t>
      </w:r>
      <w:r>
        <w:t xml:space="preserve"> </w:t>
      </w:r>
      <w:r>
        <w:t xml:space="preserve">outcome (Graphical Abstract).</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[17,19–21,24].</w:t>
      </w:r>
    </w:p>
    <w:p>
      <w:pPr>
        <w:numPr>
          <w:ilvl w:val="0"/>
          <w:numId w:val="1003"/>
        </w:numPr>
      </w:pPr>
      <w:r>
        <w:rPr>
          <w:b/>
          <w:bCs/>
        </w:rPr>
        <w:t xml:space="preserve">The library selected by multi-step stability also gives the best</w:t>
      </w:r>
      <w:r>
        <w:rPr>
          <w:b/>
          <w:bCs/>
        </w:rPr>
        <w:t xml:space="preserve"> </w:t>
      </w:r>
      <w:r>
        <w:rPr>
          <w:b/>
          <w:bCs/>
        </w:rPr>
        <w:t xml:space="preserve">simulated closed-loop economics under the benchmarking safeguards.</w:t>
      </w:r>
      <w:r>
        <w:t xml:space="preserve"> </w:t>
      </w:r>
      <w:r>
        <w:t xml:space="preserve">Across</w:t>
      </w:r>
      <w:r>
        <w:t xml:space="preserve"> </w:t>
      </w:r>
      <w:r>
        <w:t xml:space="preserve">fifteen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is retained, but its magnitude is sensitive</w:t>
      </w:r>
      <w:r>
        <w:t xml:space="preserve"> </w:t>
      </w:r>
      <w:r>
        <w:t xml:space="preserve">to baseline tuning and economic weighting.</w:t>
      </w:r>
    </w:p>
    <w:p>
      <w:pPr>
        <w:numPr>
          <w:ilvl w:val="0"/>
          <w:numId w:val="1003"/>
        </w:numPr>
      </w:pPr>
      <w:r>
        <w:rPr>
          <w:b/>
          <w:bCs/>
        </w:rPr>
        <w:t xml:space="preserve">Physically motivated features can reduce performance non-monotonically,</w:t>
      </w:r>
      <w:r>
        <w:rPr>
          <w:b/>
          <w:bCs/>
        </w:rPr>
        <w:t xml:space="preserve"> </w:t>
      </w:r>
      <w:r>
        <w:rPr>
          <w:b/>
          <w:bCs/>
        </w:rPr>
        <w:t xml:space="preserve">and conditioning does not order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but does not order closed-loop</w:t>
      </w:r>
      <w:r>
        <w:t xml:space="preserve"> </w:t>
      </w:r>
      <w:r>
        <w:t xml:space="preserve">economics [28–29,47].</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A candidate</w:t>
      </w:r>
      <w:r>
        <w:t xml:space="preserve"> </w:t>
      </w:r>
      <w:r>
        <w:t xml:space="preserve">bilinear temperature–boiler detour was tested by deleting that single feature and</w:t>
      </w:r>
      <w:r>
        <w:t xml:space="preserve"> </w:t>
      </w:r>
      <w:r>
        <w:t xml:space="preserve">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FirstParagraph"/>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TableCaption"/>
      </w:pP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auto" w:w="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 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c>
          <w:tcPr>
            <w:gridSpan w:val="3"/>
          </w:tcPr>
          <w:p>
            <w:pPr>
              <w:pStyle w:val="Compact"/>
              <w:jc w:val="left"/>
            </w:pPr>
            <w:r>
              <w:t xml:space="preserve">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 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c>
          <w:tcPr>
            <w:gridSpan w:val="3"/>
          </w:tcPr>
          <w:p>
            <w:pPr>
              <w:pStyle w:val="Compact"/>
              <w:jc w:val="left"/>
            </w:pPr>
            <w:r>
              <w:t xml:space="preserve">stage cost; PPO, SAC, the heuristic and the full-model planner have no MPC stage cost and are</w:t>
            </w:r>
          </w:p>
        </w:tc>
      </w:tr>
      <w:tr>
        <w:tc>
          <w:tcPr>
            <w:gridSpan w:val="3"/>
          </w:tcPr>
          <w:p>
            <w:pPr>
              <w:pStyle w:val="Compact"/>
              <w:jc w:val="left"/>
            </w:pPr>
            <w:r>
              <w:t xml:space="preserve">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 mechanism_pricedMech*.csv</w:t>
            </w:r>
          </w:p>
        </w:tc>
      </w:tr>
      <w:tr>
        <w:tc>
          <w:tcPr/>
          <w:p>
            <w:pPr>
              <w:pStyle w:val="Compact"/>
              <w:jc w:val="left"/>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 design_designPriced.csv</w:t>
            </w:r>
          </w:p>
        </w:tc>
      </w:tr>
    </w:tbl>
    <w:bookmarkEnd w:id="87"/>
    <w:p>
      <w:pPr>
        <w:pStyle w:val="Body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CaptionedFigure"/>
      </w:pPr>
      <w:r>
        <w:drawing>
          <wp:inline>
            <wp:extent cx="6126022" cy="2311187"/>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126022" cy="2311187"/>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FirstParagraph"/>
      </w:pPr>
      <w:r>
        <w:rPr>
          <w:b/>
          <w:bCs/>
        </w:rPr>
        <w:t xml:space="preserve">Supplementary Materials:</w:t>
      </w:r>
      <w:r>
        <w:t xml:space="preserve"> </w:t>
      </w:r>
      <w:r>
        <w:t xml:space="preserve">Not applicable.</w:t>
      </w:r>
    </w:p>
    <w:p>
      <w:pPr>
        <w:pStyle w:val="BodyText"/>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BodyText"/>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 – 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 – 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[36–37].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Acknowledgments:</w:t>
      </w:r>
      <w:r>
        <w:t xml:space="preserve"> </w:t>
      </w:r>
      <w:r>
        <w:t xml:space="preserve">Not applicable.</w:t>
      </w:r>
    </w:p>
    <w:p>
      <w:pPr>
        <w:pStyle w:val="BodyText"/>
      </w:pPr>
      <w:r>
        <w:rPr>
          <w:b/>
          <w:bCs/>
        </w:rPr>
        <w:t xml:space="preserve">Conflicts of Interest:</w:t>
      </w:r>
      <w:r>
        <w:t xml:space="preserve"> </w:t>
      </w:r>
      <w:r>
        <w:t xml:space="preserve">The authors declare no conflicts of interest.</w:t>
      </w:r>
    </w:p>
    <w:bookmarkEnd w:id="91"/>
    <w:bookmarkStart w:id="125" w:name="references"/>
    <w:p>
      <w:pPr>
        <w:pStyle w:val="Heading1"/>
      </w:pPr>
      <w:r>
        <w:t xml:space="preserve">References</w:t>
      </w:r>
    </w:p>
    <w:p>
      <w:pPr>
        <w:pStyle w:val="FirstParagraph"/>
      </w:pPr>
      <w:r>
        <w:t xml:space="preserve">1. 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BodyText"/>
      </w:pPr>
      <w:r>
        <w:t xml:space="preserve">9. E</w:t>
      </w:r>
      <w:r>
        <w:t xml:space="preserve">ć</w:t>
      </w:r>
      <w:r>
        <w:t xml:space="preserve">im-uri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BodyText"/>
      </w:pPr>
      <w:r>
        <w:t xml:space="preserve">20. 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1">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2">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3">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4">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5">
        <w:r>
          <w:rPr>
            <w:rStyle w:val="Hyperlink"/>
          </w:rPr>
          <w:t xml:space="preserve">https://doi.org/10.1002/qj.3803</w:t>
        </w:r>
      </w:hyperlink>
    </w:p>
    <w:p>
      <w:pPr>
        <w:pStyle w:val="BodyText"/>
      </w:pPr>
      <w:r>
        <w:t xml:space="preserve">37. Zippenfenig, P. Open-Meteo.com Weather API, 2023; Zenodo (concept DOI, all versions).</w:t>
      </w:r>
      <w:r>
        <w:t xml:space="preserve"> </w:t>
      </w:r>
      <w:hyperlink r:id="rId116">
        <w:r>
          <w:rPr>
            <w:rStyle w:val="Hyperlink"/>
          </w:rPr>
          <w:t xml:space="preserve">https://doi.org/10.5281/zenodo.7970649</w:t>
        </w:r>
      </w:hyperlink>
      <w:r>
        <w:t xml:space="preserve">. Historical archive endpoint available online:</w:t>
      </w:r>
      <w:r>
        <w:t xml:space="preserve"> </w:t>
      </w:r>
      <w:hyperlink r:id="rId117">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8">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9">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0">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1">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2">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3">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4">
        <w:r>
          <w:rPr>
            <w:rStyle w:val="Hyperlink"/>
          </w:rPr>
          <w:t xml:space="preserve">https://doi.org/10.3390/agronomy15122781</w:t>
        </w:r>
      </w:hyperlink>
    </w:p>
    <w:bookmarkEnd w:id="125"/>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81" Target="media/rId81.png" /><Relationship Type="http://schemas.openxmlformats.org/officeDocument/2006/relationships/hyperlink" Id="rId117" Target="https://archive-api.open-meteo.com/v1/archive" TargetMode="External" /><Relationship Type="http://schemas.openxmlformats.org/officeDocument/2006/relationships/hyperlink" Id="rId123" Target="https://doi.org/10.1002/0471725153" TargetMode="External" /><Relationship Type="http://schemas.openxmlformats.org/officeDocument/2006/relationships/hyperlink" Id="rId115"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8"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2"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3"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19"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1" Target="https://doi.org/10.1016/j.jcp.2018.10.045" TargetMode="External" /><Relationship Type="http://schemas.openxmlformats.org/officeDocument/2006/relationships/hyperlink" Id="rId112"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0" Target="https://doi.org/10.1201/9780429246593" TargetMode="External" /><Relationship Type="http://schemas.openxmlformats.org/officeDocument/2006/relationships/hyperlink" Id="rId121"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4"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4" Target="https://doi.org/10.3390/agronomy15122781" TargetMode="External" /><Relationship Type="http://schemas.openxmlformats.org/officeDocument/2006/relationships/hyperlink" Id="rId116" Target="https://doi.org/10.5281/zenodo.7970649" TargetMode="External" /></Relationships>
</file>

<file path=word/_rels/footnotes.xml.rels><?xml version="1.0" encoding="UTF-8"?><Relationships xmlns="http://schemas.openxmlformats.org/package/2006/relationships"><Relationship Type="http://schemas.openxmlformats.org/officeDocument/2006/relationships/hyperlink" Id="rId117" Target="https://archive-api.open-meteo.com/v1/archive" TargetMode="External" /><Relationship Type="http://schemas.openxmlformats.org/officeDocument/2006/relationships/hyperlink" Id="rId123" Target="https://doi.org/10.1002/0471725153" TargetMode="External" /><Relationship Type="http://schemas.openxmlformats.org/officeDocument/2006/relationships/hyperlink" Id="rId115"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8"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2"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3"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19"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1" Target="https://doi.org/10.1016/j.jcp.2018.10.045" TargetMode="External" /><Relationship Type="http://schemas.openxmlformats.org/officeDocument/2006/relationships/hyperlink" Id="rId112"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0" Target="https://doi.org/10.1201/9780429246593" TargetMode="External" /><Relationship Type="http://schemas.openxmlformats.org/officeDocument/2006/relationships/hyperlink" Id="rId121"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4"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4" Target="https://doi.org/10.3390/agronomy15122781" TargetMode="External" /><Relationship Type="http://schemas.openxmlformats.org/officeDocument/2006/relationships/hyperlink" Id="rId116" Target="https://doi.org/10.5281/zenodo.7970649"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2026-09-09T08:29:22Z</dcterms:created>
  <dcterms:modified xsi:type="dcterms:W3CDTF">2026-09-09T08:29:22Z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fifteen controllers were compared over four 60-day test seasons with up to 20 identification replicates. Outcomes were simulated seasonal margin and climate-corridor violations. One-step accuracy and multi-step stability ranked the feature libraries oppositely: physically motivated features reduced one-step temperature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