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Elena O. Chernyaeva</w:t>
      </w:r>
      <w:r>
        <w:rPr>
          <w:vertAlign w:val="superscript"/>
        </w:rPr>
        <w:t>1</w:t>
      </w:r>
      <w:r>
        <w:rPr>
          <w:b w:val="0"/>
        </w:rPr>
        <w:t xml:space="preserve"> 0009-0003-3829-3486</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fifteen controllers were</w:t>
      </w:r>
      <w:r>
        <w:t xml:space="preserve"> </w:t>
      </w:r>
      <w:r>
        <w:t xml:space="preserve">compared over four 60-day test seasons with up to 20 identification replicates.</w:t>
      </w:r>
      <w:r>
        <w:t xml:space="preserve"> </w:t>
      </w:r>
      <w:r>
        <w:t xml:space="preserve">Outcomes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inputs are optimised over a finite horizon subject to temperature, humidity and</w:t>
      </w:r>
      <w:r>
        <w:t xml:space="preserve"> </w:t>
      </w:r>
      <w:r>
        <w:t xml:space="preserve">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not demonstrations of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The third assumption is precisely what identification-for-control research warns against:</w:t>
      </w:r>
      <w:r>
        <w:t xml:space="preserve"> </w:t>
      </w:r>
      <w:r>
        <w:t xml:space="preserve">a model should be judged by the loop it closes, not by open-loop fit alone</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auto" w:w="0"/>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2640"/>
        <w:gridCol w:w="2640"/>
        <w:gridCol w:w="2640"/>
      </w:tblGrid>
      <w:tr>
        <w:trPr>
          <w:tblHeader w:val="on"/>
        </w:trPr>
        <w:tc>
          <w:tcPr>
            <w:vAlign w:val="center"/>
          </w:tcPr>
          <w:p>
            <w:pPr>
              <w:pStyle w:val="MDPI42tablebody"/>
              <w:jc w:val="center"/>
            </w:pPr>
            <w:r>
              <w:rPr>
                <w:b/>
                <w:bCs/>
              </w:rPr>
              <w:t xml:space="preserve">Benchmarking risk</w:t>
            </w:r>
          </w:p>
        </w:tc>
        <w:tc>
          <w:tcPr>
            <w:vAlign w:val="center"/>
          </w:tcPr>
          <w:p>
            <w:pPr>
              <w:pStyle w:val="MDPI42tablebody"/>
              <w:jc w:val="center"/>
            </w:pPr>
            <w:r>
              <w:rPr>
                <w:b/>
                <w:bCs/>
              </w:rPr>
              <w:t xml:space="preserve">Safeguard used here</w:t>
            </w:r>
          </w:p>
        </w:tc>
        <w:tc>
          <w:tcPr>
            <w:vAlign w:val="center"/>
          </w:tcPr>
          <w:p>
            <w:pPr>
              <w:pStyle w:val="MDPI42tablebody"/>
              <w:jc w:val="center"/>
            </w:pPr>
            <w:r>
              <w:rPr>
                <w:b/>
                <w:bCs/>
              </w:rPr>
              <w:t xml:space="preserve">Observed sensitivity</w:t>
            </w:r>
          </w:p>
        </w:tc>
      </w:tr>
      <w:tr>
        <w:tc>
          <w:tcPr>
            <w:vAlign w:val="center"/>
          </w:tcPr>
          <w:p>
            <w:pPr>
              <w:pStyle w:val="MDPI42tablebody"/>
              <w:jc w:val="center"/>
            </w:pPr>
            <w:r>
              <w:t xml:space="preserve">Unsearched reference: learned controllers compared with a hard-coded heuristic</w:t>
            </w:r>
          </w:p>
        </w:tc>
        <w:tc>
          <w:tcPr>
            <w:vAlign w:val="center"/>
          </w:tcPr>
          <w:p>
            <w:pPr>
              <w:pStyle w:val="MDPI42tablebody"/>
              <w:jc w:val="center"/>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center"/>
          </w:tcPr>
          <w:p>
            <w:pPr>
              <w:pStyle w:val="MDPI42tablebody"/>
              <w:jc w:val="center"/>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vAlign w:val="center"/>
          </w:tcPr>
          <w:p>
            <w:pPr>
              <w:pStyle w:val="MDPI42tablebody"/>
              <w:jc w:val="center"/>
            </w:pPr>
            <w:r>
              <w:t xml:space="preserve">Objective mismatch: tracking error reported instead of margin, or MPC actuator weights</w:t>
            </w:r>
            <w:r>
              <w:t xml:space="preserve"> </w:t>
            </w:r>
            <w:r>
              <w:t xml:space="preserve">that are inconsistent with the prices used for evaluation</w:t>
            </w:r>
          </w:p>
        </w:tc>
        <w:tc>
          <w:tcPr>
            <w:vAlign w:val="center"/>
          </w:tcPr>
          <w:p>
            <w:pPr>
              <w:pStyle w:val="MDPI42tablebody"/>
              <w:jc w:val="center"/>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center"/>
          </w:tcPr>
          <w:p>
            <w:pPr>
              <w:pStyle w:val="MDPI42tablebody"/>
              <w:jc w:val="center"/>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center"/>
          </w:tcPr>
          <w:p>
            <w:pPr>
              <w:pStyle w:val="MDPI42tablebody"/>
              <w:jc w:val="center"/>
            </w:pPr>
            <w:r>
              <w:t xml:space="preserve">Open-loop selection: identification configuration chosen by one-step prediction accuracy</w:t>
            </w:r>
          </w:p>
        </w:tc>
        <w:tc>
          <w:tcPr>
            <w:vAlign w:val="center"/>
          </w:tcPr>
          <w:p>
            <w:pPr>
              <w:pStyle w:val="MDPI42tablebody"/>
              <w:jc w:val="center"/>
            </w:pPr>
            <w:r>
              <w:t xml:space="preserve">Candidates are scored by multi-step rollout stability and regression conditioning, fixed</w:t>
            </w:r>
            <w:r>
              <w:t xml:space="preserve"> </w:t>
            </w:r>
            <w:r>
              <w:t xml:space="preserve">before and independently of any closed-loop evaluation</w:t>
            </w:r>
          </w:p>
        </w:tc>
        <w:tc>
          <w:tcPr>
            <w:vAlign w:val="center"/>
          </w:tcPr>
          <w:p>
            <w:pPr>
              <w:pStyle w:val="MDPI42tablebody"/>
              <w:jc w:val="center"/>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[30–32],</w:t>
      </w:r>
      <w:r>
        <w:t xml:space="preserve"> </w:t>
      </w:r>
      <w:r>
        <w:t xml:space="preserve">a full-simulator-model MPC and the rule-based heuristic in both</w:t>
      </w:r>
      <w:r>
        <w:t xml:space="preserve"> </w:t>
      </w:r>
      <w:r>
        <w:t xml:space="preserve">its stock and tuned configurations – over four held-out test seasons.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one-sample against a constant rather than genuinely paired. The</w:t>
      </w:r>
      <w:r>
        <w:t xml:space="preserve"> </w:t>
      </w:r>
      <w:r>
        <w:t xml:space="preserve">contributions are four.</w:t>
      </w:r>
    </w:p>
    <w:p>
      <w:pPr>
        <w:pStyle w:val="MDPI31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rPr>
          <w:b/>
          <w:bCs/>
        </w:rPr>
        <w:t xml:space="preserve">(ii) The effect of physically motivated features is non-monotone.</w:t>
      </w:r>
      <w:r>
        <w:t xml:space="preserve"> </w:t>
      </w:r>
      <w:r>
        <w:t xml:space="preserve">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rPr>
          <w:b/>
          <w:bCs/>
        </w:rPr>
        <w:t xml:space="preserve">(iii) Benchmarking safeguards materially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 unsearched reference</w:t>
      </w:r>
      <w:r>
        <w:t xml:space="preserve"> </w:t>
      </w:r>
      <w:r>
        <w:t xml:space="preserve">the same advantage would read</w:t>
      </w:r>
      <w:r>
        <w:t xml:space="preserve"> </w:t>
      </w:r>
      <m:oMath>
        <m:r>
          <m:rPr>
            <m:sty m:val="p"/>
          </m:rPr>
          <m:t>+</m:t>
        </m:r>
        <m:r>
          <m:t>5.54</m:t>
        </m:r>
      </m:oMath>
      <w:r>
        <w:t xml:space="preserve">, demonstrating the sensitivity of the headline</w:t>
      </w:r>
      <w:r>
        <w:t xml:space="preserve"> </w:t>
      </w:r>
      <w:r>
        <w:t xml:space="preserve">comparison to baseline tuning. 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 gates the outcome but does not order 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2.52</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MDPI31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not estimates of</w:t>
      </w:r>
      <w:r>
        <w:t xml:space="preserve"> </w:t>
      </w:r>
      <w:r>
        <w:t xml:space="preserve">field-scale benefit or recommendations for direct commercial 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[28]. Evaluation rollouts carry no excitation.</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MDPI31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vAlign w:val="center"/>
          </w:tcPr>
          <w:p>
            <w:pPr>
              <w:pStyle w:val="MDPI42tablebody"/>
              <w:jc w:val="center"/>
            </w:pPr>
            <w:r>
              <w:t xml:space="preserve">Label</w:t>
            </w:r>
          </w:p>
        </w:tc>
        <w:tc>
          <w:tcPr>
            <w:vAlign w:val="center"/>
          </w:tcPr>
          <w:p>
            <w:pPr>
              <w:pStyle w:val="MDPI42tablebody"/>
              <w:jc w:val="center"/>
            </w:pPr>
            <w:r>
              <w:t xml:space="preserve">Family</w:t>
            </w:r>
          </w:p>
        </w:tc>
        <w:tc>
          <w:tcPr>
            <w:vAlign w:val="center"/>
          </w:tcPr>
          <w:p>
            <w:pPr>
              <w:pStyle w:val="MDPI42tablebody"/>
              <w:jc w:val="center"/>
            </w:pPr>
            <w:r>
              <w:t xml:space="preserve">Definition</w:t>
            </w:r>
          </w:p>
        </w:tc>
      </w:tr>
      <w:tr>
        <w:tc>
          <w:tcPr>
            <w:vAlign w:val="center"/>
          </w:tcPr>
          <w:p>
            <w:pPr>
              <w:pStyle w:val="MDPI42tablebody"/>
              <w:jc w:val="center"/>
            </w:pPr>
            <w:r>
              <w:rPr>
                <w:rStyle w:val="VerbatimChar"/>
              </w:rPr>
              <w:t xml:space="preserve">rule_based</w:t>
            </w:r>
          </w:p>
        </w:tc>
        <w:tc>
          <w:tcPr>
            <w:vAlign w:val="center"/>
          </w:tcPr>
          <w:p>
            <w:pPr>
              <w:pStyle w:val="MDPI42tablebody"/>
              <w:jc w:val="center"/>
            </w:pPr>
            <w:r>
              <w:t xml:space="preserve">heuristic</w:t>
            </w:r>
          </w:p>
        </w:tc>
        <w:tc>
          <w:tcPr>
            <w:vAlign w:val="center"/>
          </w:tcPr>
          <w:p>
            <w:pPr>
              <w:pStyle w:val="MDPI42tablebody"/>
              <w:jc w:val="center"/>
            </w:pPr>
            <w:r>
              <w:t xml:space="preserve">agronomic setpoint heuristic, hard-coded setpoints; deterministic</w:t>
            </w:r>
          </w:p>
        </w:tc>
      </w:tr>
      <w:t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heuristic</w:t>
            </w:r>
          </w:p>
        </w:tc>
        <w:tc>
          <w:tcPr>
            <w:vAlign w:val="center"/>
          </w:tcPr>
          <w:p>
            <w:pPr>
              <w:pStyle w:val="MDPI42tablebody"/>
              <w:jc w:val="center"/>
            </w:pPr>
            <w:r>
              <w:t xml:space="preserve">the same heuristic after a 16-trial setpoint search (Section </w:t>
            </w:r>
            <w:hyperlink w:anchor="sec:rbtune">
              <w:r>
                <w:rPr>
                  <w:rStyle w:val="Hyperlink"/>
                </w:rPr>
                <w:t xml:space="preserve">2.7</w:t>
              </w:r>
            </w:hyperlink>
            <w:r>
              <w:t xml:space="preserve">)</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SINDy-MPC</w:t>
            </w:r>
          </w:p>
        </w:tc>
        <w:tc>
          <w:tcPr>
            <w:vAlign w:val="center"/>
          </w:tcPr>
          <w:p>
            <w:pPr>
              <w:pStyle w:val="MDPI42tablebody"/>
              <w:jc w:val="center"/>
            </w:pPr>
            <w:r>
              <w:t xml:space="preserve">raw library, STLSQ,</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SINDy-MPC</w:t>
            </w:r>
          </w:p>
        </w:tc>
        <w:tc>
          <w:tcPr>
            <w:vAlign w:val="center"/>
          </w:tcPr>
          <w:p>
            <w:pPr>
              <w:pStyle w:val="MDPI42tablebody"/>
              <w:jc w:val="center"/>
            </w:pPr>
            <w:r>
              <w:t xml:space="preserve">raw library,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SINDy-MPC</w:t>
            </w:r>
          </w:p>
        </w:tc>
        <w:tc>
          <w:tcPr>
            <w:vAlign w:val="center"/>
          </w:tcPr>
          <w:p>
            <w:pPr>
              <w:pStyle w:val="MDPI42tablebody"/>
              <w:jc w:val="center"/>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conf</w:t>
            </w:r>
            <w:r>
              <w:t xml:space="preserve"> </w:t>
            </w:r>
            <w:r>
              <w:t xml:space="preserve">plus on-policy re-identification</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dense</w:t>
            </w:r>
            <w:r>
              <w:t xml:space="preserve"> </w:t>
            </w:r>
            <w:r>
              <w:t xml:space="preserve">plus on-policy re-identification</w:t>
            </w:r>
          </w:p>
        </w:tc>
      </w:tr>
      <w:t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neural MPC</w:t>
            </w:r>
          </w:p>
        </w:tc>
        <w:tc>
          <w:tcPr>
            <w:vAlign w:val="center"/>
          </w:tcPr>
          <w:p>
            <w:pPr>
              <w:pStyle w:val="MDPI42tablebody"/>
              <w:jc w:val="center"/>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center"/>
          </w:tcPr>
          <w:p>
            <w:pPr>
              <w:pStyle w:val="MDPI42tablebody"/>
              <w:jc w:val="center"/>
            </w:pPr>
            <w:r>
              <w:rPr>
                <w:rStyle w:val="VerbatimChar"/>
              </w:rPr>
              <w:t xml:space="preserve">ppo</w:t>
            </w:r>
            <w:r>
              <w:t xml:space="preserve">,</w:t>
            </w:r>
            <w:r>
              <w:t xml:space="preserve"> </w:t>
            </w:r>
            <w:r>
              <w:rPr>
                <w:rStyle w:val="VerbatimChar"/>
              </w:rPr>
              <w:t xml:space="preserve">sac</w:t>
            </w:r>
          </w:p>
        </w:tc>
        <w:tc>
          <w:tcPr>
            <w:vAlign w:val="center"/>
          </w:tcPr>
          <w:p>
            <w:pPr>
              <w:pStyle w:val="MDPI42tablebody"/>
              <w:jc w:val="center"/>
            </w:pPr>
            <w:r>
              <w:t xml:space="preserve">reinforcement learning</w:t>
            </w:r>
          </w:p>
        </w:tc>
        <w:tc>
          <w:tcPr>
            <w:vAlign w:val="center"/>
          </w:tcPr>
          <w:p>
            <w:pPr>
              <w:pStyle w:val="MDPI42tablebody"/>
              <w:jc w:val="center"/>
            </w:pPr>
            <w:r>
              <w:t xml:space="preserve">PPO [30] and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idealised</w:t>
            </w:r>
          </w:p>
        </w:tc>
        <w:tc>
          <w:tcPr>
            <w:vAlign w:val="center"/>
          </w:tcPr>
          <w:p>
            <w:pPr>
              <w:pStyle w:val="MDPI42tablebody"/>
              <w:jc w:val="center"/>
            </w:pPr>
            <w:r>
              <w:t xml:space="preserve">cross-entropy planning directly on the simulator integrator: 48 candidate sequences, 2 refinement iterations, elite fraction 0.2</w:t>
            </w:r>
          </w:p>
        </w:tc>
      </w:tr>
    </w:tbl>
    <w:bookmarkEnd w:id="29"/>
    <w:p>
      <w:pPr>
        <w:pStyle w:val="MDPI31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is not an</w:t>
      </w:r>
      <w:r>
        <w:t xml:space="preserve"> </w:t>
      </w:r>
      <w:r>
        <w:t xml:space="preserve">unsearched baseline. That match is a stated budget, not a measured search trace: here the</w:t>
      </w:r>
      <w:r>
        <w:t xml:space="preserve"> </w:t>
      </w:r>
      <w:r>
        <w:t xml:space="preserve">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 not tuned for any predictive controller either; that asymmetry runs</w:t>
      </w:r>
      <w:r>
        <w:t xml:space="preserve"> </w:t>
      </w:r>
      <w:r>
        <w:t xml:space="preserve">against the MPC family and is disclosed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pre-specified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 The protocol that</w:t>
      </w:r>
      <w:r>
        <w:t xml:space="preserve"> </w:t>
      </w:r>
      <w:r>
        <w:t xml:space="preserve">fixed these criteria is included in the archived replication package.</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isolating the relative actuator weights while preserving the overall</w:t>
      </w:r>
      <w:r>
        <w:t xml:space="preserve"> </w:t>
      </w:r>
      <w:r>
        <w:t xml:space="preserve">resource–corridor balance.</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have not been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jc w:val="center"/>
            </w:pPr>
            <w:r>
              <w:t xml:space="preserve">Setpoint</w:t>
            </w:r>
          </w:p>
        </w:tc>
        <w:tc>
          <w:tcPr>
            <w:vAlign w:val="center"/>
          </w:tcPr>
          <w:p>
            <w:pPr>
              <w:pStyle w:val="MDPI42tablebody"/>
              <w:jc w:val="center"/>
            </w:pPr>
            <w:r>
              <w:t xml:space="preserve">Range searched</w:t>
            </w:r>
          </w:p>
        </w:tc>
        <w:tc>
          <w:tcPr>
            <w:vAlign w:val="center"/>
          </w:tcPr>
          <w:p>
            <w:pPr>
              <w:pStyle w:val="MDPI42tablebody"/>
              <w:jc w:val="center"/>
            </w:pPr>
            <w:r>
              <w:t xml:space="preserve">Hard-coded</w:t>
            </w:r>
          </w:p>
        </w:tc>
        <w:tc>
          <w:tcPr>
            <w:vAlign w:val="center"/>
          </w:tcPr>
          <w:p>
            <w:pPr>
              <w:pStyle w:val="MDPI42tablebody"/>
              <w:jc w:val="center"/>
            </w:pPr>
            <w:r>
              <w:t xml:space="preserve">Selected</w:t>
            </w:r>
          </w:p>
        </w:tc>
      </w:tr>
      <w:tr>
        <w:tc>
          <w:tcPr>
            <w:vAlign w:val="center"/>
          </w:tcPr>
          <w:p>
            <w:pPr>
              <w:pStyle w:val="MDPI42tablebody"/>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c>
          <w:tcPr>
            <w:vAlign w:val="center"/>
          </w:tcPr>
          <w:p>
            <w:pPr>
              <w:pStyle w:val="MDPI42tablebody"/>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c>
          <w:tcPr>
            <w:vAlign w:val="center"/>
          </w:tcPr>
          <w:p>
            <w:pPr>
              <w:pStyle w:val="MDPI42tablebody"/>
              <w:jc w:val="center"/>
            </w:pPr>
            <w:r>
              <w:rPr>
                <w:rStyle w:val="VerbatimChar"/>
              </w:rPr>
              <w:t xml:space="preserve">co2_day</w:t>
            </w:r>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828.26</w:t>
            </w:r>
          </w:p>
        </w:tc>
      </w:tr>
      <w:tr>
        <w:tc>
          <w:tcPr>
            <w:vAlign w:val="center"/>
          </w:tcPr>
          <w:p>
            <w:pPr>
              <w:pStyle w:val="MDPI42tablebody"/>
              <w:jc w:val="center"/>
            </w:pPr>
            <w:r>
              <w:rPr>
                <w:rStyle w:val="VerbatimChar"/>
              </w:rPr>
              <w:t xml:space="preserve">lamp_rad_sum_limit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c>
          <w:tcPr>
            <w:vAlign w:val="center"/>
          </w:tcPr>
          <w:p>
            <w:pPr>
              <w:pStyle w:val="MDPI42tablebody"/>
              <w:jc w:val="center"/>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1.936</m:t>
              </m:r>
            </m:oMath>
            <w:r>
              <w:t xml:space="preserve">​</w:t>
            </w:r>
          </w:p>
        </w:tc>
        <w:tc>
          <w:tcPr>
            <w:vAlign w:val="center"/>
          </w:tcPr>
          <w:p>
            <w:pPr>
              <w:pStyle w:val="MDPI42tablebody"/>
              <w:jc w:val="center"/>
            </w:pPr>
            <m:oMath>
              <m:r>
                <m:rPr>
                  <m:sty m:val="p"/>
                </m:rPr>
                <m:t>+</m:t>
              </m:r>
              <m:r>
                <m:t>0.920</m:t>
              </m:r>
            </m:oMath>
            <w:r>
              <w:t xml:space="preserve">​</w:t>
            </w:r>
          </w:p>
        </w:tc>
      </w:tr>
      <w:tr>
        <w:tc>
          <w:tcPr>
            <w:vAlign w:val="center"/>
          </w:tcPr>
          <w:p>
            <w:pPr>
              <w:pStyle w:val="MDPI42tablebody"/>
              <w:jc w:val="center"/>
            </w:pPr>
            <w:r>
              <w:t xml:space="preserve">Test</w:t>
            </w:r>
            <w:r>
              <w:t xml:space="preserve"> </w:t>
            </w:r>
            <m:oMath>
              <m:r>
                <m:t>J</m:t>
              </m:r>
            </m:oMath>
            <w:r>
              <w:t xml:space="preserve"> </w:t>
            </w:r>
            <w:r>
              <w:t xml:space="preserve">(mean 2020–2023,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1.226</m:t>
              </m:r>
            </m:oMath>
            <w:r>
              <w:t xml:space="preserve">​</w:t>
            </w:r>
          </w:p>
        </w:tc>
        <w:tc>
          <w:tcPr>
            <w:vAlign w:val="center"/>
          </w:tcPr>
          <w:p>
            <w:pPr>
              <w:pStyle w:val="MDPI42tablebody"/>
              <w:jc w:val="center"/>
            </w:pPr>
            <m:oMath>
              <m:r>
                <m:rPr>
                  <m:sty m:val="p"/>
                </m:rPr>
                <m:t>+</m:t>
              </m:r>
              <m:r>
                <m:t>2.261</m:t>
              </m:r>
            </m:oMath>
            <w:r>
              <w:t xml:space="preserve">​</w:t>
            </w:r>
          </w:p>
        </w:tc>
      </w:tr>
    </w:tbl>
    <w:bookmarkEnd w:id="34"/>
    <w:p>
      <w:pPr>
        <w:pStyle w:val="MDPI31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MDPI31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One caveat qualifies every reproducibility statement here, and it is a limit on what was</w:t>
      </w:r>
      <w:r>
        <w:t xml:space="preserve"> </w:t>
      </w:r>
      <w:r>
        <w:t xml:space="preserve">measured rather than a measurement. The self-test establishes bit-identity within</w:t>
      </w:r>
      <w:r>
        <w:t xml:space="preserve"> </w:t>
      </w:r>
      <w:r>
        <w:t xml:space="preserve">one environment. Nothing in the results tree establishes it across 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MDPI31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 a priori.</w:t>
      </w:r>
      <w:r>
        <w:t xml:space="preserve"> </w:t>
      </w:r>
      <w:r>
        <w:t xml:space="preserve">The rule adopted here is therefore that a whole wave is regenerated in one environment</w:t>
      </w:r>
      <w:r>
        <w:t xml:space="preserve"> </w:t>
      </w:r>
      <w:r>
        <w:t xml:space="preserve">and is never mixed cell-by-cell with another for closed-loop numbers. Because the</w:t>
      </w:r>
      <w:r>
        <w:t xml:space="preserve"> </w:t>
      </w:r>
      <w:r>
        <w:t xml:space="preserve">environment itself is not recorded in the manifests, this provenance scheme cannot support</w:t>
      </w:r>
      <w:r>
        <w:t xml:space="preserve"> </w:t>
      </w:r>
      <w:r>
        <w:t xml:space="preserve">a cross-platform guarantee; the reproducibility claim is within-environment only.</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 not 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 the library with the best one-step accuracy</w:t>
      </w:r>
      <w:r>
        <w:t xml:space="preserve"> </w:t>
      </w:r>
      <w:r>
        <w:t xml:space="preserve">is the worst on every multi-step metric,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pre-specified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pre-specified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pre-specified axes – 63rd of 72 on median rollout error, 64th on divergence</w:t>
      </w:r>
      <w:r>
        <w:t xml:space="preserve"> </w:t>
      </w:r>
      <w:r>
        <w:t xml:space="preserv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jc w:val="center"/>
            </w:pPr>
            <w:r>
              <w:t xml:space="preserve">Library</w:t>
            </w:r>
          </w:p>
        </w:tc>
        <w:tc>
          <w:tcPr>
            <w:vAlign w:val="center"/>
          </w:tcPr>
          <w:p>
            <w:pPr>
              <w:pStyle w:val="MDPI42tablebody"/>
              <w:jc w:val="center"/>
            </w:pPr>
            <m:oMath>
              <m:r>
                <m:t>κ</m:t>
              </m:r>
            </m:oMath>
            <w:r>
              <w:t xml:space="preserve">​</w:t>
            </w:r>
          </w:p>
        </w:tc>
        <w:tc>
          <w:tcPr>
            <w:vAlign w:val="center"/>
          </w:tcPr>
          <w:p>
            <w:pPr>
              <w:pStyle w:val="MDPI42tablebody"/>
              <w:jc w:val="center"/>
            </w:pPr>
            <w:r>
              <w:t xml:space="preserve">Active</w:t>
            </w:r>
          </w:p>
        </w:tc>
        <w:tc>
          <w:tcPr>
            <w:vAlign w:val="center"/>
          </w:tcPr>
          <w:p>
            <w:pPr>
              <w:pStyle w:val="MDPI42tablebody"/>
              <w:jc w:val="center"/>
            </w:pPr>
            <w:r>
              <w:t xml:space="preserve">One-step</w:t>
            </w:r>
          </w:p>
        </w:tc>
        <w:tc>
          <w:tcPr>
            <w:vAlign w:val="center"/>
          </w:tcPr>
          <w:p>
            <w:pPr>
              <w:pStyle w:val="MDPI42tablebody"/>
              <w:jc w:val="center"/>
            </w:pPr>
            <w:r>
              <w:t xml:space="preserve">Rollout</w:t>
            </w:r>
          </w:p>
        </w:tc>
        <w:tc>
          <w:tcPr>
            <w:vAlign w:val="center"/>
          </w:tcPr>
          <w:p>
            <w:pPr>
              <w:pStyle w:val="MDPI42tablebody"/>
              <w:jc w:val="center"/>
            </w:pPr>
            <w:r>
              <w:t xml:space="preserve">Rollout</w:t>
            </w:r>
          </w:p>
        </w:tc>
        <w:tc>
          <w:tcPr>
            <w:vAlign w:val="center"/>
          </w:tcPr>
          <w:p>
            <w:pPr>
              <w:pStyle w:val="MDPI42tablebody"/>
              <w:jc w:val="center"/>
            </w:pPr>
            <w:r>
              <w:t xml:space="preserve">Diverged</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terms</w:t>
            </w:r>
          </w:p>
        </w:tc>
        <w:tc>
          <w:tcPr>
            <w:vAlign w:val="center"/>
          </w:tcPr>
          <w:p>
            <w:pPr>
              <w:pStyle w:val="MDPI42tablebody"/>
              <w:jc w:val="center"/>
            </w:pPr>
            <w:r>
              <w:t xml:space="preserve">RMSE (</w:t>
            </w:r>
            <m:oMath>
              <m:sSup>
                <m:e>
                  <m:r>
                    <m:t>​</m:t>
                  </m:r>
                </m:e>
                <m:sup>
                  <m:r>
                    <m:rPr>
                      <m:sty m:val="p"/>
                    </m:rPr>
                    <m:t>∘</m:t>
                  </m:r>
                </m:sup>
              </m:sSup>
            </m:oMath>
            <w:r>
              <w:t xml:space="preserve">C)</w:t>
            </w: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IQR</w:t>
            </w:r>
          </w:p>
        </w:tc>
        <w:tc>
          <w:tcPr>
            <w:vAlign w:val="center"/>
          </w:tcPr>
          <w:p>
            <w:pPr>
              <w:pStyle w:val="MDPI42tablebody"/>
              <w:jc w:val="center"/>
            </w:pPr>
            <w:r>
              <w:t xml:space="preserve">fraction</w:t>
            </w:r>
          </w:p>
        </w:tc>
      </w:tr>
      <w:tr>
        <w:tc>
          <w:tcPr>
            <w:gridSpan w:val="7"/>
            <w:vAlign w:val="center"/>
          </w:tcPr>
          <w:p>
            <w:pPr>
              <w:pStyle w:val="MDPI42tablebody"/>
              <w:jc w:val="center"/>
            </w:pPr>
            <w:r>
              <w:rPr>
                <w:i/>
                <w:iCs/>
              </w:rPr>
              <w:t xml:space="preserve">All four optimizer labels</w:t>
            </w:r>
          </w:p>
        </w:tc>
      </w:tr>
      <w:tr>
        <w:tc>
          <w:tcPr>
            <w:vAlign w:val="center"/>
          </w:tcPr>
          <w:p>
            <w:pPr>
              <w:pStyle w:val="MDPI42tablebody"/>
              <w:jc w:val="center"/>
            </w:pPr>
            <w:r>
              <w:rPr>
                <w:rStyle w:val="VerbatimChar"/>
              </w:rPr>
              <w:t xml:space="preserve">raw</w:t>
            </w:r>
          </w:p>
        </w:tc>
        <w:tc>
          <w:tcPr>
            <w:vAlign w:val="center"/>
          </w:tcPr>
          <w:p>
            <w:pPr>
              <w:pStyle w:val="MDPI42tablebody"/>
              <w:jc w:val="center"/>
            </w:pPr>
            <m:oMath>
              <m:r>
                <m:t>8.21</m:t>
              </m:r>
              <m:r>
                <m:rPr>
                  <m:sty m:val="p"/>
                </m:rPr>
                <m:t>±</m:t>
              </m:r>
              <m:r>
                <m:t>0.22</m:t>
              </m:r>
            </m:oMath>
            <w:r>
              <w:t xml:space="preserve">​</w:t>
            </w:r>
          </w:p>
        </w:tc>
        <w:tc>
          <w:tcPr>
            <w:vAlign w:val="center"/>
          </w:tcPr>
          <w:p>
            <w:pPr>
              <w:pStyle w:val="MDPI42tablebody"/>
              <w:jc w:val="center"/>
            </w:pPr>
            <w:r>
              <w:t xml:space="preserve">12.95</w:t>
            </w:r>
          </w:p>
        </w:tc>
        <w:tc>
          <w:tcPr>
            <w:vAlign w:val="center"/>
          </w:tcPr>
          <w:p>
            <w:pPr>
              <w:pStyle w:val="MDPI42tablebody"/>
              <w:jc w:val="center"/>
            </w:pPr>
            <w:r>
              <w:t xml:space="preserve">2.137</w:t>
            </w:r>
          </w:p>
        </w:tc>
        <w:tc>
          <w:tcPr>
            <w:vAlign w:val="center"/>
          </w:tcPr>
          <w:p>
            <w:pPr>
              <w:pStyle w:val="MDPI42tablebody"/>
              <w:jc w:val="center"/>
            </w:pPr>
            <w:r>
              <w:t xml:space="preserve">3.31</w:t>
            </w:r>
          </w:p>
        </w:tc>
        <w:tc>
          <w:tcPr>
            <w:vAlign w:val="center"/>
          </w:tcPr>
          <w:p>
            <w:pPr>
              <w:pStyle w:val="MDPI42tablebody"/>
              <w:jc w:val="center"/>
            </w:pPr>
            <w:r>
              <w:t xml:space="preserve">[2.67, 4.43]</w:t>
            </w:r>
          </w:p>
        </w:tc>
        <w:tc>
          <w:tcPr>
            <w:vAlign w:val="center"/>
          </w:tcPr>
          <w:p>
            <w:pPr>
              <w:pStyle w:val="MDPI42tablebody"/>
              <w:jc w:val="center"/>
            </w:pPr>
            <w:r>
              <w:t xml:space="preserve">0.000</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t>24.52</m:t>
              </m:r>
              <m:r>
                <m:rPr>
                  <m:sty m:val="p"/>
                </m:rPr>
                <m:t>±</m:t>
              </m:r>
              <m:r>
                <m:t>0.94</m:t>
              </m:r>
            </m:oMath>
            <w:r>
              <w:t xml:space="preserve">​</w:t>
            </w:r>
          </w:p>
        </w:tc>
        <w:tc>
          <w:tcPr>
            <w:vAlign w:val="center"/>
          </w:tcPr>
          <w:p>
            <w:pPr>
              <w:pStyle w:val="MDPI42tablebody"/>
              <w:jc w:val="center"/>
            </w:pPr>
            <w:r>
              <w:t xml:space="preserve">18.66</w:t>
            </w:r>
          </w:p>
        </w:tc>
        <w:tc>
          <w:tcPr>
            <w:vAlign w:val="center"/>
          </w:tcPr>
          <w:p>
            <w:pPr>
              <w:pStyle w:val="MDPI42tablebody"/>
              <w:jc w:val="center"/>
            </w:pPr>
            <w:r>
              <w:t xml:space="preserve">2.174</w:t>
            </w:r>
          </w:p>
        </w:tc>
        <w:tc>
          <w:tcPr>
            <w:vAlign w:val="center"/>
          </w:tcPr>
          <w:p>
            <w:pPr>
              <w:pStyle w:val="MDPI42tablebody"/>
              <w:jc w:val="center"/>
            </w:pPr>
            <w:r>
              <w:t xml:space="preserve">7.11</w:t>
            </w:r>
          </w:p>
        </w:tc>
        <w:tc>
          <w:tcPr>
            <w:vAlign w:val="center"/>
          </w:tcPr>
          <w:p>
            <w:pPr>
              <w:pStyle w:val="MDPI42tablebody"/>
              <w:jc w:val="center"/>
            </w:pPr>
            <w:r>
              <w:t xml:space="preserve">[4.24, 10.99]</w:t>
            </w:r>
          </w:p>
        </w:tc>
        <w:tc>
          <w:tcPr>
            <w:vAlign w:val="center"/>
          </w:tcPr>
          <w:p>
            <w:pPr>
              <w:pStyle w:val="MDPI42tablebody"/>
              <w:jc w:val="center"/>
            </w:pPr>
            <w:r>
              <w:t xml:space="preserve">0.011</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m:oMath>
              <m:r>
                <m:t>53.43</m:t>
              </m:r>
              <m:r>
                <m:rPr>
                  <m:sty m:val="p"/>
                </m:rPr>
                <m:t>±</m:t>
              </m:r>
              <m:r>
                <m:t>2.40</m:t>
              </m:r>
            </m:oMath>
            <w:r>
              <w:t xml:space="preserve">​</w:t>
            </w:r>
          </w:p>
        </w:tc>
        <w:tc>
          <w:tcPr>
            <w:vAlign w:val="center"/>
          </w:tcPr>
          <w:p>
            <w:pPr>
              <w:pStyle w:val="MDPI42tablebody"/>
              <w:jc w:val="center"/>
            </w:pPr>
            <w:r>
              <w:t xml:space="preserve">26.74</w:t>
            </w:r>
          </w:p>
        </w:tc>
        <w:tc>
          <w:tcPr>
            <w:vAlign w:val="center"/>
          </w:tcPr>
          <w:p>
            <w:pPr>
              <w:pStyle w:val="MDPI42tablebody"/>
              <w:jc w:val="center"/>
            </w:pPr>
            <w:r>
              <w:rPr>
                <w:b/>
                <w:bCs/>
              </w:rPr>
              <w:t xml:space="preserve">2.022</w:t>
            </w:r>
          </w:p>
        </w:tc>
        <w:tc>
          <w:tcPr>
            <w:vAlign w:val="center"/>
          </w:tcPr>
          <w:p>
            <w:pPr>
              <w:pStyle w:val="MDPI42tablebody"/>
              <w:jc w:val="center"/>
            </w:pPr>
            <w:r>
              <w:rPr>
                <w:b/>
                <w:bCs/>
              </w:rPr>
              <w:t xml:space="preserve">30.84</w:t>
            </w:r>
          </w:p>
        </w:tc>
        <w:tc>
          <w:tcPr>
            <w:vAlign w:val="center"/>
          </w:tcPr>
          <w:p>
            <w:pPr>
              <w:pStyle w:val="MDPI42tablebody"/>
              <w:jc w:val="center"/>
            </w:pPr>
            <w:r>
              <w:t xml:space="preserve">[24.08, 2360.14]</w:t>
            </w:r>
          </w:p>
        </w:tc>
        <w:tc>
          <w:tcPr>
            <w:vAlign w:val="center"/>
          </w:tcPr>
          <w:p>
            <w:pPr>
              <w:pStyle w:val="MDPI42tablebody"/>
              <w:jc w:val="center"/>
            </w:pPr>
            <w:r>
              <w:t xml:space="preserve">0.130</w:t>
            </w:r>
          </w:p>
        </w:tc>
      </w:tr>
      <w:tr>
        <w:tc>
          <w:tcPr>
            <w:gridSpan w:val="7"/>
            <w:vAlign w:val="center"/>
          </w:tcPr>
          <w:p>
            <w:pPr>
              <w:pStyle w:val="MDPI42tablebody"/>
              <w:jc w:val="center"/>
            </w:pPr>
            <w:r>
              <w:rPr>
                <w:i/>
                <w:iCs/>
              </w:rPr>
              <w:t xml:space="preserve">Sparse estimators only (STLSQ, ensemble)</w:t>
            </w:r>
          </w:p>
        </w:tc>
      </w:tr>
      <w:tr>
        <w:tc>
          <w:tcPr>
            <w:vAlign w:val="center"/>
          </w:tcPr>
          <w:p>
            <w:pPr>
              <w:pStyle w:val="MDPI42tablebody"/>
              <w:jc w:val="center"/>
            </w:pPr>
            <w:r>
              <w:rPr>
                <w:rStyle w:val="VerbatimChar"/>
              </w:rPr>
              <w:t xml:space="preserve">raw</w:t>
            </w:r>
          </w:p>
        </w:tc>
        <w:tc>
          <w:tcPr>
            <w:vAlign w:val="center"/>
          </w:tcPr>
          <w:p>
            <w:pPr>
              <w:pStyle w:val="MDPI42tablebody"/>
              <w:jc w:val="center"/>
            </w:pPr>
            <w:r>
              <w:t xml:space="preserve">–</w:t>
            </w:r>
          </w:p>
        </w:tc>
        <w:tc>
          <w:tcPr>
            <w:vAlign w:val="center"/>
          </w:tcPr>
          <w:p>
            <w:pPr>
              <w:pStyle w:val="MDPI42tablebody"/>
              <w:jc w:val="center"/>
            </w:pPr>
            <w:r>
              <w:t xml:space="preserve">20.05</w:t>
            </w:r>
          </w:p>
        </w:tc>
        <w:tc>
          <w:tcPr>
            <w:vAlign w:val="center"/>
          </w:tcPr>
          <w:p>
            <w:pPr>
              <w:pStyle w:val="MDPI42tablebody"/>
              <w:jc w:val="center"/>
            </w:pPr>
            <w:r>
              <w:t xml:space="preserve">1.862</w:t>
            </w:r>
          </w:p>
        </w:tc>
        <w:tc>
          <w:tcPr>
            <w:vAlign w:val="center"/>
          </w:tcPr>
          <w:p>
            <w:pPr>
              <w:pStyle w:val="MDPI42tablebody"/>
              <w:jc w:val="center"/>
            </w:pPr>
            <w:r>
              <w:t xml:space="preserve">2.67</w:t>
            </w:r>
          </w:p>
        </w:tc>
        <w:tc>
          <w:tcPr>
            <w:vAlign w:val="center"/>
          </w:tcPr>
          <w:p>
            <w:pPr>
              <w:pStyle w:val="MDPI42tablebody"/>
              <w:jc w:val="center"/>
            </w:pPr>
            <w:r>
              <w:t xml:space="preserve">–</w:t>
            </w:r>
          </w:p>
        </w:tc>
        <w:tc>
          <w:tcPr>
            <w:vAlign w:val="center"/>
          </w:tcPr>
          <w:p>
            <w:pPr>
              <w:pStyle w:val="MDPI42tablebody"/>
              <w:jc w:val="center"/>
            </w:pPr>
            <w:r>
              <w:t xml:space="preserve">0.0000</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w:r>
              <w:t xml:space="preserve">–</w:t>
            </w:r>
          </w:p>
        </w:tc>
        <w:tc>
          <w:tcPr>
            <w:vAlign w:val="center"/>
          </w:tcPr>
          <w:p>
            <w:pPr>
              <w:pStyle w:val="MDPI42tablebody"/>
              <w:jc w:val="center"/>
            </w:pPr>
            <w:r>
              <w:t xml:space="preserve">28.18</w:t>
            </w:r>
          </w:p>
        </w:tc>
        <w:tc>
          <w:tcPr>
            <w:vAlign w:val="center"/>
          </w:tcPr>
          <w:p>
            <w:pPr>
              <w:pStyle w:val="MDPI42tablebody"/>
              <w:jc w:val="center"/>
            </w:pPr>
            <w:r>
              <w:t xml:space="preserve">1.728</w:t>
            </w:r>
          </w:p>
        </w:tc>
        <w:tc>
          <w:tcPr>
            <w:vAlign w:val="center"/>
          </w:tcPr>
          <w:p>
            <w:pPr>
              <w:pStyle w:val="MDPI42tablebody"/>
              <w:jc w:val="center"/>
            </w:pPr>
            <w:r>
              <w:t xml:space="preserve">10.58</w:t>
            </w:r>
          </w:p>
        </w:tc>
        <w:tc>
          <w:tcPr>
            <w:vAlign w:val="center"/>
          </w:tcPr>
          <w:p>
            <w:pPr>
              <w:pStyle w:val="MDPI42tablebody"/>
              <w:jc w:val="center"/>
            </w:pPr>
            <w:r>
              <w:t xml:space="preserve">–</w:t>
            </w:r>
          </w:p>
        </w:tc>
        <w:tc>
          <w:tcPr>
            <w:vAlign w:val="center"/>
          </w:tcPr>
          <w:p>
            <w:pPr>
              <w:pStyle w:val="MDPI42tablebody"/>
              <w:jc w:val="center"/>
            </w:pPr>
            <w:r>
              <w:t xml:space="preserve">0.0204</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36.98</w:t>
            </w:r>
          </w:p>
        </w:tc>
        <w:tc>
          <w:tcPr>
            <w:vAlign w:val="center"/>
          </w:tcPr>
          <w:p>
            <w:pPr>
              <w:pStyle w:val="MDPI42tablebody"/>
              <w:jc w:val="center"/>
            </w:pPr>
            <w:r>
              <w:rPr>
                <w:b/>
                <w:bCs/>
              </w:rPr>
              <w:t xml:space="preserve">1.675</w:t>
            </w:r>
          </w:p>
        </w:tc>
        <w:tc>
          <w:tcPr>
            <w:vAlign w:val="center"/>
          </w:tcPr>
          <w:p>
            <w:pPr>
              <w:pStyle w:val="MDPI42tablebody"/>
              <w:jc w:val="center"/>
            </w:pPr>
            <w:r>
              <w:rPr>
                <w:b/>
                <w:bCs/>
              </w:rPr>
              <w:t xml:space="preserve">24.27</w:t>
            </w:r>
          </w:p>
        </w:tc>
        <w:tc>
          <w:tcPr>
            <w:vAlign w:val="center"/>
          </w:tcPr>
          <w:p>
            <w:pPr>
              <w:pStyle w:val="MDPI42tablebody"/>
              <w:jc w:val="center"/>
            </w:pPr>
            <w:r>
              <w:t xml:space="preserve">–</w:t>
            </w:r>
          </w:p>
        </w:tc>
        <w:tc>
          <w:tcPr>
            <w:vAlign w:val="center"/>
          </w:tcPr>
          <w:p>
            <w:pPr>
              <w:pStyle w:val="MDPI42tablebody"/>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jc w:val="center"/>
            </w:pPr>
            <w:r>
              <w:t xml:space="preserve">Setpoint</w:t>
            </w:r>
          </w:p>
        </w:tc>
        <w:tc>
          <w:tcPr>
            <w:vAlign w:val="center"/>
          </w:tcPr>
          <w:p>
            <w:pPr>
              <w:pStyle w:val="MDPI42tablebody"/>
              <w:jc w:val="center"/>
            </w:pPr>
            <w:r>
              <w:t xml:space="preserve">Range searched</w:t>
            </w:r>
          </w:p>
        </w:tc>
        <w:tc>
          <w:tcPr>
            <w:vAlign w:val="center"/>
          </w:tcPr>
          <w:p>
            <w:pPr>
              <w:pStyle w:val="MDPI42tablebody"/>
              <w:jc w:val="center"/>
            </w:pPr>
            <w:r>
              <w:t xml:space="preserve">Hard-coded</w:t>
            </w:r>
          </w:p>
        </w:tc>
        <w:tc>
          <w:tcPr>
            <w:vAlign w:val="center"/>
          </w:tcPr>
          <w:p>
            <w:pPr>
              <w:pStyle w:val="MDPI42tablebody"/>
              <w:jc w:val="center"/>
            </w:pPr>
            <w:r>
              <w:t xml:space="preserve">Selected</w:t>
            </w:r>
          </w:p>
        </w:tc>
      </w:tr>
      <w:tr>
        <w:tc>
          <w:tcPr>
            <w:vAlign w:val="center"/>
          </w:tcPr>
          <w:p>
            <w:pPr>
              <w:pStyle w:val="MDPI42tablebody"/>
              <w:jc w:val="center"/>
            </w:pPr>
            <w:r>
              <w:t xml:space="preserve">Day temperature (</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c>
          <w:tcPr>
            <w:vAlign w:val="center"/>
          </w:tcPr>
          <w:p>
            <w:pPr>
              <w:pStyle w:val="MDPI42tablebody"/>
              <w:jc w:val="center"/>
            </w:pPr>
            <w:r>
              <w:t xml:space="preserve">Night temperature (</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c>
          <w:tcPr>
            <w:vAlign w:val="center"/>
          </w:tcPr>
          <w:p>
            <w:pPr>
              <w:pStyle w:val="MDPI42tablebody"/>
              <w:jc w:val="center"/>
            </w:pPr>
            <w:r>
              <w:t xml:space="preserve">Daytime CO</w:t>
            </w:r>
            <m:oMath>
              <m:sSub>
                <m:e>
                  <m:r>
                    <m:t>​</m:t>
                  </m:r>
                </m:e>
                <m:sub>
                  <m:r>
                    <m:t>2</m:t>
                  </m:r>
                </m:sub>
              </m:sSub>
            </m:oMath>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828.3</w:t>
            </w:r>
          </w:p>
        </w:tc>
      </w:tr>
      <w:tr>
        <w:tc>
          <w:tcPr>
            <w:vAlign w:val="center"/>
          </w:tcPr>
          <w:p>
            <w:pPr>
              <w:pStyle w:val="MDPI42tablebody"/>
              <w:jc w:val="center"/>
            </w:pPr>
            <w:r>
              <w:t xml:space="preserve">Lamp radiation-sum 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c>
          <w:tcPr>
            <w:vAlign w:val="center"/>
          </w:tcPr>
          <w:p>
            <w:pPr>
              <w:pStyle w:val="MDPI42tablebody"/>
              <w:jc w:val="center"/>
            </w:pPr>
            <w:r>
              <w:t xml:space="preserve">Test season</w:t>
            </w:r>
          </w:p>
        </w:tc>
        <w:tc>
          <w:tcPr>
            <w:vAlign w:val="center"/>
          </w:tcPr>
          <w:p>
            <w:pPr>
              <w:pStyle w:val="MDPI42tablebody"/>
              <w:jc w:val="center"/>
            </w:pPr>
            <w:r>
              <w:t xml:space="preserve">2020</w:t>
            </w:r>
          </w:p>
        </w:tc>
        <w:tc>
          <w:tcPr>
            <w:vAlign w:val="center"/>
          </w:tcPr>
          <w:p>
            <w:pPr>
              <w:pStyle w:val="MDPI42tablebody"/>
              <w:jc w:val="center"/>
            </w:pPr>
            <w:r>
              <w:t xml:space="preserve">2022</w:t>
            </w:r>
          </w:p>
        </w:tc>
        <w:tc>
          <w:tcPr>
            <w:vAlign w:val="center"/>
          </w:tcPr>
          <w:p>
            <w:pPr>
              <w:pStyle w:val="MDPI42tablebody"/>
              <w:jc w:val="center"/>
            </w:pPr>
            <w:r>
              <w:t xml:space="preserve">Mean Violations</w:t>
            </w:r>
          </w:p>
        </w:tc>
      </w:tr>
      <w:tr>
        <w:tc>
          <w:tcPr>
            <w:vAlign w:val="center"/>
          </w:tcPr>
          <w:p>
            <w:pPr>
              <w:pStyle w:val="MDPI42tablebody"/>
              <w:jc w:val="center"/>
            </w:pPr>
            <w:r>
              <w:t xml:space="preserve">Hard-coded</w:t>
            </w:r>
          </w:p>
        </w:tc>
        <w:tc>
          <w:tcPr>
            <w:vAlign w:val="center"/>
          </w:tcPr>
          <w:p>
            <w:pPr>
              <w:pStyle w:val="MDPI42tablebody"/>
              <w:jc w:val="center"/>
            </w:pPr>
            <m:oMath>
              <m:r>
                <m:rPr>
                  <m:sty m:val="p"/>
                </m:rPr>
                <m:t>+</m:t>
              </m:r>
              <m:r>
                <m:t>4.63</m:t>
              </m:r>
            </m:oMath>
            <w:r>
              <w:t xml:space="preserve"> </w:t>
            </w:r>
            <m:oMath>
              <m:r>
                <m:rPr>
                  <m:sty m:val="p"/>
                </m:rPr>
                <m:t>−</m:t>
              </m:r>
              <m:r>
                <m:t>6.98</m:t>
              </m:r>
            </m:oMath>
          </w:p>
        </w:tc>
        <w:tc>
          <w:tcPr>
            <w:vAlign w:val="center"/>
          </w:tcPr>
          <w:p>
            <w:pPr>
              <w:pStyle w:val="MDPI42tablebody"/>
              <w:jc w:val="center"/>
            </w:pPr>
            <m:oMath>
              <m:r>
                <m:rPr>
                  <m:sty m:val="p"/>
                </m:rPr>
                <m:t>+</m:t>
              </m:r>
              <m:r>
                <m:t>1.30</m:t>
              </m:r>
            </m:oMath>
            <w:r>
              <w:t xml:space="preserve"> </w:t>
            </w:r>
            <m:oMath>
              <m:r>
                <m:rPr>
                  <m:sty m:val="p"/>
                </m:rPr>
                <m:t>−</m:t>
              </m:r>
              <m:r>
                <m:t>3.85</m:t>
              </m:r>
            </m:oMath>
          </w:p>
        </w:tc>
        <w:tc>
          <w:tcPr>
            <w:vAlign w:val="center"/>
          </w:tcPr>
          <w:p>
            <w:pPr>
              <w:pStyle w:val="MDPI42tablebody"/>
              <w:jc w:val="center"/>
            </w:pPr>
            <m:oMath>
              <m:r>
                <m:rPr>
                  <m:sty m:val="p"/>
                </m:rPr>
                <m:t>−</m:t>
              </m:r>
              <m:r>
                <m:t>1.23</m:t>
              </m:r>
            </m:oMath>
            <w:r>
              <w:t xml:space="preserve">​</w:t>
            </w:r>
          </w:p>
        </w:tc>
      </w:tr>
      <w:tr>
        <w:tc>
          <w:tcPr>
            <w:vAlign w:val="center"/>
          </w:tcPr>
          <w:p>
            <w:pPr>
              <w:pStyle w:val="MDPI42tablebody"/>
              <w:jc w:val="center"/>
            </w:pPr>
            <w:r>
              <w:t xml:space="preserve">Tuned</w:t>
            </w:r>
          </w:p>
        </w:tc>
        <w:tc>
          <w:tcPr>
            <w:vAlign w:val="center"/>
          </w:tcPr>
          <w:p>
            <w:pPr>
              <w:pStyle w:val="MDPI42tablebody"/>
              <w:jc w:val="center"/>
            </w:pPr>
            <m:oMath>
              <m:r>
                <m:rPr>
                  <m:sty m:val="p"/>
                </m:rPr>
                <m:t>+</m:t>
              </m:r>
              <m:r>
                <m:t>6.29</m:t>
              </m:r>
            </m:oMath>
            <w:r>
              <w:t xml:space="preserve"> </w:t>
            </w:r>
            <m:oMath>
              <m:r>
                <m:rPr>
                  <m:sty m:val="p"/>
                </m:rPr>
                <m:t>−</m:t>
              </m:r>
              <m:r>
                <m:t>1.99</m:t>
              </m:r>
            </m:oMath>
          </w:p>
        </w:tc>
        <w:tc>
          <w:tcPr>
            <w:vAlign w:val="center"/>
          </w:tcPr>
          <w:p>
            <w:pPr>
              <w:pStyle w:val="MDPI42tablebody"/>
              <w:jc w:val="center"/>
            </w:pPr>
            <m:oMath>
              <m:r>
                <m:rPr>
                  <m:sty m:val="p"/>
                </m:rPr>
                <m:t>+</m:t>
              </m:r>
              <m:r>
                <m:t>2.81</m:t>
              </m:r>
            </m:oMath>
            <w:r>
              <w:t xml:space="preserve"> </w:t>
            </w:r>
            <m:oMath>
              <m:r>
                <m:rPr>
                  <m:sty m:val="p"/>
                </m:rPr>
                <m:t>+</m:t>
              </m:r>
              <m:r>
                <m:t>1.94</m:t>
              </m:r>
            </m:oMath>
          </w:p>
        </w:tc>
        <w:tc>
          <w:tcPr>
            <w:vAlign w:val="center"/>
          </w:tcPr>
          <w:p>
            <w:pPr>
              <w:pStyle w:val="MDPI42tablebody"/>
              <w:jc w:val="center"/>
            </w:pPr>
            <m:oMath>
              <m:r>
                <m:rPr>
                  <m:sty m:val="b"/>
                </m:rPr>
                <m:t>+</m:t>
              </m:r>
              <m:r>
                <m:rPr>
                  <m:sty m:val="b"/>
                </m:rPr>
                <m:t>2.26</m:t>
              </m:r>
            </m:oMath>
            <w:r>
              <w:t xml:space="preserve">​</w:t>
            </w:r>
          </w:p>
        </w:tc>
      </w:tr>
      <w:tr>
        <w:tc>
          <w:tcPr>
            <w:vAlign w:val="center"/>
          </w:tcPr>
          <w:p>
            <w:pPr>
              <w:pStyle w:val="MDPI42tablebody"/>
              <w:jc w:val="center"/>
            </w:pPr>
            <w:r>
              <w:t xml:space="preserve">Gain</w:t>
            </w:r>
          </w:p>
        </w:tc>
        <w:tc>
          <w:tcPr>
            <w:vAlign w:val="center"/>
          </w:tcPr>
          <w:p>
            <w:pPr>
              <w:pStyle w:val="MDPI42tablebody"/>
              <w:jc w:val="center"/>
            </w:pPr>
            <m:oMath>
              <m:r>
                <m:rPr>
                  <m:sty m:val="p"/>
                </m:rPr>
                <m:t>+</m:t>
              </m:r>
              <m:r>
                <m:t>1.66</m:t>
              </m:r>
            </m:oMath>
            <w:r>
              <w:t xml:space="preserve"> </w:t>
            </w:r>
            <m:oMath>
              <m:r>
                <m:rPr>
                  <m:sty m:val="p"/>
                </m:rPr>
                <m:t>+</m:t>
              </m:r>
              <m:r>
                <m:t>4.99</m:t>
              </m:r>
            </m:oMath>
          </w:p>
        </w:tc>
        <w:tc>
          <w:tcPr>
            <w:vAlign w:val="center"/>
          </w:tcPr>
          <w:p>
            <w:pPr>
              <w:pStyle w:val="MDPI42tablebody"/>
              <w:jc w:val="center"/>
            </w:pPr>
            <m:oMath>
              <m:r>
                <m:rPr>
                  <m:sty m:val="p"/>
                </m:rPr>
                <m:t>+</m:t>
              </m:r>
              <m:r>
                <m:t>1.50</m:t>
              </m:r>
            </m:oMath>
            <w:r>
              <w:t xml:space="preserve"> </w:t>
            </w:r>
            <m:oMath>
              <m:r>
                <m:rPr>
                  <m:sty m:val="p"/>
                </m:rPr>
                <m:t>+</m:t>
              </m:r>
              <m:r>
                <m:t>5.79</m:t>
              </m:r>
            </m:oMath>
          </w:p>
        </w:tc>
        <w:tc>
          <w:tcPr>
            <w:vAlign w:val="center"/>
          </w:tcPr>
          <w:p>
            <w:pPr>
              <w:pStyle w:val="MDPI42tablebody"/>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MDPI31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pre-declared family of 15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MDPI31text"/>
      </w:pPr>
      <w:r>
        <w:t xml:space="preserve">The comparison of default and price-aligned stage costs is itself a result. Matched on</w:t>
      </w:r>
      <w:r>
        <w:t xml:space="preserve"> </w:t>
      </w:r>
      <w:r>
        <w:t xml:space="preserve">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jc w:val="center"/>
            </w:pPr>
            <w:r>
              <w:t xml:space="preserve">Controller</w:t>
            </w:r>
          </w:p>
        </w:tc>
        <w:tc>
          <w:tcPr>
            <w:vAlign w:val="center"/>
          </w:tcPr>
          <w:p>
            <w:pPr>
              <w:pStyle w:val="MDPI42tablebody"/>
              <w:jc w:val="center"/>
            </w:pPr>
            <w:r>
              <w:t xml:space="preserve">Lib.</w:t>
            </w:r>
          </w:p>
        </w:tc>
        <w:tc>
          <w:tcPr>
            <w:vAlign w:val="center"/>
          </w:tcPr>
          <w:p>
            <w:pPr>
              <w:pStyle w:val="MDPI42tablebody"/>
              <w:jc w:val="center"/>
            </w:pPr>
            <w:r>
              <w:t xml:space="preserve">2020</w:t>
            </w:r>
          </w:p>
        </w:tc>
        <w:tc>
          <w:tcPr>
            <w:vAlign w:val="center"/>
          </w:tcPr>
          <w:p>
            <w:pPr>
              <w:pStyle w:val="MDPI42tablebody"/>
              <w:jc w:val="center"/>
            </w:pPr>
            <w:r>
              <w:t xml:space="preserve">2021</w:t>
            </w:r>
          </w:p>
        </w:tc>
        <w:tc>
          <w:tcPr>
            <w:vAlign w:val="center"/>
          </w:tcPr>
          <w:p>
            <w:pPr>
              <w:pStyle w:val="MDPI42tablebody"/>
              <w:jc w:val="center"/>
            </w:pPr>
            <w:r>
              <w:t xml:space="preserve">2022</w:t>
            </w:r>
          </w:p>
        </w:tc>
        <w:tc>
          <w:tcPr>
            <w:vAlign w:val="center"/>
          </w:tcPr>
          <w:p>
            <w:pPr>
              <w:pStyle w:val="MDPI42tablebody"/>
              <w:jc w:val="center"/>
            </w:pPr>
            <w:r>
              <w:t xml:space="preserve">2023</w:t>
            </w:r>
          </w:p>
        </w:tc>
        <w:tc>
          <w:tcPr>
            <w:vAlign w:val="center"/>
          </w:tcPr>
          <w:p>
            <w:pPr>
              <w:pStyle w:val="MDPI42tablebody"/>
              <w:jc w:val="center"/>
            </w:pPr>
            <w:r>
              <w:t xml:space="preserve">Four-season</w:t>
            </w:r>
          </w:p>
        </w:tc>
        <w:tc>
          <w:tcPr>
            <w:vAlign w:val="center"/>
          </w:tcPr>
          <w:p>
            <w:pPr>
              <w:pStyle w:val="MDPI42tablebody"/>
              <w:jc w:val="center"/>
            </w:pPr>
            <m:oMath>
              <m:r>
                <m:t>n</m:t>
              </m:r>
            </m:oMath>
            <w:r>
              <w:t xml:space="preserve">​</w:t>
            </w:r>
          </w:p>
        </w:tc>
        <w:tc>
          <w:tcPr>
            <w:vAlign w:val="center"/>
          </w:tcPr>
          <w:p>
            <w:pPr>
              <w:pStyle w:val="MDPI42tablebody"/>
              <w:jc w:val="center"/>
            </w:pPr>
            <w:r>
              <w:t xml:space="preserve">Viol. </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mean</w:t>
            </w:r>
            <w:r>
              <w:t xml:space="preserve"> </w:t>
            </w:r>
            <m:oMath>
              <m:r>
                <m:rPr>
                  <m:sty m:val="p"/>
                </m:rPr>
                <m:t>±</m:t>
              </m:r>
            </m:oMath>
            <w:r>
              <w:t xml:space="preserve"> </w:t>
            </w:r>
            <w:r>
              <w:t xml:space="preserve">SD</w:t>
            </w:r>
          </w:p>
        </w:tc>
        <w:tc>
          <w:tcPr>
            <w:vAlign w:val="center"/>
          </w:tcPr>
          <w:p>
            <w:pPr>
              <w:pStyle w:val="MDPI42tablebody"/>
              <w:jc w:val="center"/>
            </w:pPr>
          </w:p>
        </w:tc>
        <w:tc>
          <w:tcPr>
            <w:vAlign w:val="center"/>
          </w:tcPr>
          <w:p>
            <w:pPr>
              <w:pStyle w:val="MDPI42tablebody"/>
              <w:jc w:val="center"/>
            </w:pPr>
            <w:r>
              <w:t xml:space="preserve">steps</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raw</w:t>
            </w:r>
          </w:p>
        </w:tc>
        <w:tc>
          <w:tcPr>
            <w:vAlign w:val="center"/>
          </w:tcPr>
          <w:p>
            <w:pPr>
              <w:pStyle w:val="MDPI42tablebody"/>
              <w:jc w:val="center"/>
            </w:pPr>
            <m:oMath>
              <m:r>
                <m:t>9.10</m:t>
              </m:r>
              <m:r>
                <m:rPr>
                  <m:sty m:val="p"/>
                </m:rPr>
                <m:t>±</m:t>
              </m:r>
              <m:r>
                <m:t>0.36</m:t>
              </m:r>
            </m:oMath>
            <w:r>
              <w:t xml:space="preserve">​</w:t>
            </w:r>
          </w:p>
        </w:tc>
        <w:tc>
          <w:tcPr>
            <w:vAlign w:val="center"/>
          </w:tcPr>
          <w:p>
            <w:pPr>
              <w:pStyle w:val="MDPI42tablebody"/>
              <w:jc w:val="center"/>
            </w:pPr>
            <m:oMath>
              <m:r>
                <m:rPr>
                  <m:sty m:val="p"/>
                </m:rPr>
                <m:t>−</m:t>
              </m:r>
              <m:r>
                <m:t>1.56</m:t>
              </m:r>
              <m:r>
                <m:rPr>
                  <m:sty m:val="p"/>
                </m:rPr>
                <m:t>±</m:t>
              </m:r>
              <m:r>
                <m:t>0.58</m:t>
              </m:r>
            </m:oMath>
            <w:r>
              <w:t xml:space="preserve">​</w:t>
            </w:r>
          </w:p>
        </w:tc>
        <w:tc>
          <w:tcPr>
            <w:vAlign w:val="center"/>
          </w:tcPr>
          <w:p>
            <w:pPr>
              <w:pStyle w:val="MDPI42tablebody"/>
              <w:jc w:val="center"/>
            </w:pPr>
            <m:oMath>
              <m:r>
                <m:t>4.62</m:t>
              </m:r>
              <m:r>
                <m:rPr>
                  <m:sty m:val="p"/>
                </m:rPr>
                <m:t>±</m:t>
              </m:r>
              <m:r>
                <m:t>2.70</m:t>
              </m:r>
            </m:oMath>
            <w:r>
              <w:t xml:space="preserve">​</w:t>
            </w:r>
          </w:p>
        </w:tc>
        <w:tc>
          <w:tcPr>
            <w:vAlign w:val="center"/>
          </w:tcPr>
          <w:p>
            <w:pPr>
              <w:pStyle w:val="MDPI42tablebody"/>
              <w:jc w:val="center"/>
            </w:pPr>
            <m:oMath>
              <m:r>
                <m:t>5.10</m:t>
              </m:r>
              <m:r>
                <m:rPr>
                  <m:sty m:val="p"/>
                </m:rPr>
                <m:t>±</m:t>
              </m:r>
              <m:r>
                <m:t>0.39</m:t>
              </m:r>
            </m:oMath>
            <w:r>
              <w:t xml:space="preserve">​</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4130</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raw</w:t>
            </w:r>
          </w:p>
        </w:tc>
        <w:tc>
          <w:tcPr>
            <w:vAlign w:val="center"/>
          </w:tcPr>
          <w:p>
            <w:pPr>
              <w:pStyle w:val="MDPI42tablebody"/>
              <w:jc w:val="center"/>
            </w:pPr>
            <m:oMath>
              <m:r>
                <m:t>8.40</m:t>
              </m:r>
              <m:r>
                <m:rPr>
                  <m:sty m:val="p"/>
                </m:rPr>
                <m:t>±</m:t>
              </m:r>
              <m:r>
                <m:t>2.24</m:t>
              </m:r>
            </m:oMath>
            <w:r>
              <w:t xml:space="preserve">​</w:t>
            </w:r>
          </w:p>
        </w:tc>
        <w:tc>
          <w:tcPr>
            <w:vAlign w:val="center"/>
          </w:tcPr>
          <w:p>
            <w:pPr>
              <w:pStyle w:val="MDPI42tablebody"/>
              <w:jc w:val="center"/>
            </w:pPr>
            <m:oMath>
              <m:r>
                <m:rPr>
                  <m:sty m:val="p"/>
                </m:rPr>
                <m:t>−</m:t>
              </m:r>
              <m:r>
                <m:t>1.71</m:t>
              </m:r>
              <m:r>
                <m:rPr>
                  <m:sty m:val="p"/>
                </m:rPr>
                <m:t>±</m:t>
              </m:r>
              <m:r>
                <m:t>0.70</m:t>
              </m:r>
            </m:oMath>
            <w:r>
              <w:t xml:space="preserve">​</w:t>
            </w:r>
          </w:p>
        </w:tc>
        <w:tc>
          <w:tcPr>
            <w:vAlign w:val="center"/>
          </w:tcPr>
          <w:p>
            <w:pPr>
              <w:pStyle w:val="MDPI42tablebody"/>
              <w:jc w:val="center"/>
            </w:pPr>
            <m:oMath>
              <m:r>
                <m:t>4.04</m:t>
              </m:r>
              <m:r>
                <m:rPr>
                  <m:sty m:val="p"/>
                </m:rPr>
                <m:t>±</m:t>
              </m:r>
              <m:r>
                <m:t>3.40</m:t>
              </m:r>
            </m:oMath>
            <w:r>
              <w:t xml:space="preserve">​</w:t>
            </w:r>
          </w:p>
        </w:tc>
        <w:tc>
          <w:tcPr>
            <w:vAlign w:val="center"/>
          </w:tcPr>
          <w:p>
            <w:pPr>
              <w:pStyle w:val="MDPI42tablebody"/>
              <w:jc w:val="center"/>
            </w:pPr>
            <m:oMath>
              <m:r>
                <m:t>4.61</m:t>
              </m:r>
              <m:r>
                <m:rPr>
                  <m:sty m:val="p"/>
                </m:rPr>
                <m:t>±</m:t>
              </m:r>
              <m:r>
                <m:t>1.59</m:t>
              </m:r>
            </m:oMath>
            <w:r>
              <w:t xml:space="preserve">​</w:t>
            </w:r>
          </w:p>
        </w:tc>
        <w:tc>
          <w:tcPr>
            <w:vAlign w:val="center"/>
          </w:tcPr>
          <w:p>
            <w:pPr>
              <w:pStyle w:val="MDPI42tablebody"/>
              <w:jc w:val="center"/>
            </w:pPr>
            <m:oMath>
              <m:r>
                <m:rPr>
                  <m:sty m:val="p"/>
                </m:rPr>
                <m:t>+</m:t>
              </m:r>
              <m:r>
                <m:t>3.83</m:t>
              </m:r>
              <m:r>
                <m:rPr>
                  <m:sty m:val="p"/>
                </m:rPr>
                <m:t>±</m:t>
              </m:r>
              <m:r>
                <m:t>4.23</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4466</w:t>
            </w:r>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0.27</m:t>
              </m:r>
              <m:r>
                <m:rPr>
                  <m:sty m:val="p"/>
                </m:rPr>
                <m:t>±</m:t>
              </m:r>
              <m:r>
                <m:t>1.73</m:t>
              </m:r>
            </m:oMath>
            <w:r>
              <w:t xml:space="preserve">​</w:t>
            </w:r>
          </w:p>
        </w:tc>
        <w:tc>
          <w:tcPr>
            <w:vAlign w:val="center"/>
          </w:tcPr>
          <w:p>
            <w:pPr>
              <w:pStyle w:val="MDPI42tablebody"/>
              <w:jc w:val="center"/>
            </w:pPr>
            <m:oMath>
              <m:r>
                <m:t>3.22</m:t>
              </m:r>
              <m:r>
                <m:rPr>
                  <m:sty m:val="p"/>
                </m:rPr>
                <m:t>±</m:t>
              </m:r>
              <m:r>
                <m:t>1.35</m:t>
              </m:r>
            </m:oMath>
            <w:r>
              <w:t xml:space="preserve">​</w:t>
            </w:r>
          </w:p>
        </w:tc>
        <w:tc>
          <w:tcPr>
            <w:vAlign w:val="center"/>
          </w:tcPr>
          <w:p>
            <w:pPr>
              <w:pStyle w:val="MDPI42tablebody"/>
              <w:jc w:val="center"/>
            </w:pPr>
            <m:oMath>
              <m:r>
                <m:t>2.29</m:t>
              </m:r>
              <m:r>
                <m:rPr>
                  <m:sty m:val="p"/>
                </m:rPr>
                <m:t>±</m:t>
              </m:r>
              <m:r>
                <m:t>1.48</m:t>
              </m:r>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3692</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0.25</m:t>
              </m:r>
              <m:r>
                <m:rPr>
                  <m:sty m:val="p"/>
                </m:rPr>
                <m:t>±</m:t>
              </m:r>
              <m:r>
                <m:t>1.71</m:t>
              </m:r>
            </m:oMath>
            <w:r>
              <w:t xml:space="preserve">​</w:t>
            </w:r>
          </w:p>
        </w:tc>
        <w:tc>
          <w:tcPr>
            <w:vAlign w:val="center"/>
          </w:tcPr>
          <w:p>
            <w:pPr>
              <w:pStyle w:val="MDPI42tablebody"/>
              <w:jc w:val="center"/>
            </w:pPr>
            <m:oMath>
              <m:r>
                <m:t>3.21</m:t>
              </m:r>
              <m:r>
                <m:rPr>
                  <m:sty m:val="p"/>
                </m:rPr>
                <m:t>±</m:t>
              </m:r>
              <m:r>
                <m:t>1.34</m:t>
              </m:r>
            </m:oMath>
            <w:r>
              <w:t xml:space="preserve">​</w:t>
            </w:r>
          </w:p>
        </w:tc>
        <w:tc>
          <w:tcPr>
            <w:vAlign w:val="center"/>
          </w:tcPr>
          <w:p>
            <w:pPr>
              <w:pStyle w:val="MDPI42tablebody"/>
              <w:jc w:val="center"/>
            </w:pPr>
            <m:oMath>
              <m:r>
                <m:t>2.29</m:t>
              </m:r>
              <m:r>
                <m:rPr>
                  <m:sty m:val="p"/>
                </m:rPr>
                <m:t>±</m:t>
              </m:r>
              <m:r>
                <m:t>1.45</m:t>
              </m:r>
            </m:oMath>
            <w:r>
              <w:t xml:space="preserve">​</w:t>
            </w:r>
          </w:p>
        </w:tc>
        <w:tc>
          <w:tcPr>
            <w:vAlign w:val="center"/>
          </w:tcPr>
          <w:p>
            <w:pPr>
              <w:pStyle w:val="MDPI42tablebody"/>
              <w:jc w:val="center"/>
            </w:pPr>
            <m:oMath>
              <m:r>
                <m:rPr>
                  <m:sty m:val="p"/>
                </m:rPr>
                <m:t>+</m:t>
              </m:r>
              <m:r>
                <m:t>3.08</m:t>
              </m:r>
              <m:r>
                <m:rPr>
                  <m:sty m:val="p"/>
                </m:rPr>
                <m:t>±</m:t>
              </m:r>
              <m:r>
                <m:t>2.70</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3686</w:t>
            </w:r>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phys</w:t>
            </w:r>
          </w:p>
        </w:tc>
        <w:tc>
          <w:tcPr>
            <w:vAlign w:val="center"/>
          </w:tcPr>
          <w:p>
            <w:pPr>
              <w:pStyle w:val="MDPI42tablebody"/>
              <w:jc w:val="center"/>
            </w:pPr>
            <m:oMath>
              <m:r>
                <m:t>6.35</m:t>
              </m:r>
              <m:r>
                <m:rPr>
                  <m:sty m:val="p"/>
                </m:rPr>
                <m:t>±</m:t>
              </m:r>
              <m:r>
                <m:t>2.12</m:t>
              </m:r>
            </m:oMath>
            <w:r>
              <w:t xml:space="preserve">​</w:t>
            </w:r>
          </w:p>
        </w:tc>
        <w:tc>
          <w:tcPr>
            <w:vAlign w:val="center"/>
          </w:tcPr>
          <w:p>
            <w:pPr>
              <w:pStyle w:val="MDPI42tablebody"/>
              <w:jc w:val="center"/>
            </w:pPr>
            <m:oMath>
              <m:r>
                <m:rPr>
                  <m:sty m:val="p"/>
                </m:rPr>
                <m:t>−</m:t>
              </m:r>
              <m:r>
                <m:t>1.91</m:t>
              </m:r>
              <m:r>
                <m:rPr>
                  <m:sty m:val="p"/>
                </m:rPr>
                <m:t>±</m:t>
              </m:r>
              <m:r>
                <m:t>0.87</m:t>
              </m:r>
            </m:oMath>
            <w:r>
              <w:t xml:space="preserve">​</w:t>
            </w:r>
          </w:p>
        </w:tc>
        <w:tc>
          <w:tcPr>
            <w:vAlign w:val="center"/>
          </w:tcPr>
          <w:p>
            <w:pPr>
              <w:pStyle w:val="MDPI42tablebody"/>
              <w:jc w:val="center"/>
            </w:pPr>
            <m:oMath>
              <m:r>
                <m:t>3.07</m:t>
              </m:r>
              <m:r>
                <m:rPr>
                  <m:sty m:val="p"/>
                </m:rPr>
                <m:t>±</m:t>
              </m:r>
              <m:r>
                <m:t>2.34</m:t>
              </m:r>
            </m:oMath>
            <w:r>
              <w:t xml:space="preserve">​</w:t>
            </w:r>
          </w:p>
        </w:tc>
        <w:tc>
          <w:tcPr>
            <w:vAlign w:val="center"/>
          </w:tcPr>
          <w:p>
            <w:pPr>
              <w:pStyle w:val="MDPI42tablebody"/>
              <w:jc w:val="center"/>
            </w:pPr>
            <m:oMath>
              <m:r>
                <m:t>3.51</m:t>
              </m:r>
              <m:r>
                <m:rPr>
                  <m:sty m:val="p"/>
                </m:rPr>
                <m:t>±</m:t>
              </m:r>
              <m:r>
                <m:t>1.44</m:t>
              </m:r>
            </m:oMath>
            <w:r>
              <w:t xml:space="preserve">​</w:t>
            </w:r>
          </w:p>
        </w:tc>
        <w:tc>
          <w:tcPr>
            <w:vAlign w:val="center"/>
          </w:tcPr>
          <w:p>
            <w:pPr>
              <w:pStyle w:val="MDPI42tablebody"/>
              <w:jc w:val="center"/>
            </w:pPr>
            <m:oMath>
              <m:r>
                <m:rPr>
                  <m:sty m:val="p"/>
                </m:rPr>
                <m:t>+</m:t>
              </m:r>
              <m:r>
                <m:t>2.75</m:t>
              </m:r>
              <m:r>
                <m:rPr>
                  <m:sty m:val="p"/>
                </m:rPr>
                <m:t>±</m:t>
              </m:r>
              <m:r>
                <m:t>3.47</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4193</w:t>
            </w:r>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phys</w:t>
            </w:r>
          </w:p>
        </w:tc>
        <w:tc>
          <w:tcPr>
            <w:vAlign w:val="center"/>
          </w:tcPr>
          <w:p>
            <w:pPr>
              <w:pStyle w:val="MDPI42tablebody"/>
              <w:jc w:val="center"/>
            </w:pPr>
            <m:oMath>
              <m:r>
                <m:t>5.82</m:t>
              </m:r>
              <m:r>
                <m:rPr>
                  <m:sty m:val="p"/>
                </m:rPr>
                <m:t>±</m:t>
              </m:r>
              <m:r>
                <m:t>2.87</m:t>
              </m:r>
            </m:oMath>
            <w:r>
              <w:t xml:space="preserve">​</w:t>
            </w:r>
          </w:p>
        </w:tc>
        <w:tc>
          <w:tcPr>
            <w:vAlign w:val="center"/>
          </w:tcPr>
          <w:p>
            <w:pPr>
              <w:pStyle w:val="MDPI42tablebody"/>
              <w:jc w:val="center"/>
            </w:pPr>
            <m:oMath>
              <m:r>
                <m:rPr>
                  <m:sty m:val="p"/>
                </m:rPr>
                <m:t>−</m:t>
              </m:r>
              <m:r>
                <m:t>2.02</m:t>
              </m:r>
              <m:r>
                <m:rPr>
                  <m:sty m:val="p"/>
                </m:rPr>
                <m:t>±</m:t>
              </m:r>
              <m:r>
                <m:t>1.01</m:t>
              </m:r>
            </m:oMath>
            <w:r>
              <w:t xml:space="preserve">​</w:t>
            </w:r>
          </w:p>
        </w:tc>
        <w:tc>
          <w:tcPr>
            <w:vAlign w:val="center"/>
          </w:tcPr>
          <w:p>
            <w:pPr>
              <w:pStyle w:val="MDPI42tablebody"/>
              <w:jc w:val="center"/>
            </w:pPr>
            <m:oMath>
              <m:r>
                <m:t>2.89</m:t>
              </m:r>
              <m:r>
                <m:rPr>
                  <m:sty m:val="p"/>
                </m:rPr>
                <m:t>±</m:t>
              </m:r>
              <m:r>
                <m:t>2.76</m:t>
              </m:r>
            </m:oMath>
            <w:r>
              <w:t xml:space="preserve">​</w:t>
            </w:r>
          </w:p>
        </w:tc>
        <w:tc>
          <w:tcPr>
            <w:vAlign w:val="center"/>
          </w:tcPr>
          <w:p>
            <w:pPr>
              <w:pStyle w:val="MDPI42tablebody"/>
              <w:jc w:val="center"/>
            </w:pPr>
            <m:oMath>
              <m:r>
                <m:t>3.22</m:t>
              </m:r>
              <m:r>
                <m:rPr>
                  <m:sty m:val="p"/>
                </m:rPr>
                <m:t>±</m:t>
              </m:r>
              <m:r>
                <m:t>1.98</m:t>
              </m:r>
            </m:oMath>
            <w:r>
              <w:t xml:space="preserve">​</w:t>
            </w:r>
          </w:p>
        </w:tc>
        <w:tc>
          <w:tcPr>
            <w:vAlign w:val="center"/>
          </w:tcPr>
          <w:p>
            <w:pPr>
              <w:pStyle w:val="MDPI42tablebody"/>
              <w:jc w:val="center"/>
            </w:pPr>
            <m:oMath>
              <m:r>
                <m:rPr>
                  <m:sty m:val="p"/>
                </m:rPr>
                <m:t>+</m:t>
              </m:r>
              <m:r>
                <m:t>2.48</m:t>
              </m:r>
              <m:r>
                <m:rPr>
                  <m:sty m:val="p"/>
                </m:rPr>
                <m:t>±</m:t>
              </m:r>
              <m:r>
                <m:t>3.62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4174</w:t>
            </w:r>
          </w:p>
        </w:tc>
      </w:tr>
      <w:t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w:t>
            </w:r>
          </w:p>
        </w:tc>
        <w:tc>
          <w:tcPr>
            <w:vAlign w:val="center"/>
          </w:tcPr>
          <w:p>
            <w:pPr>
              <w:pStyle w:val="MDPI42tablebody"/>
              <w:jc w:val="center"/>
            </w:pPr>
            <m:oMath>
              <m:r>
                <m:t>6.29</m:t>
              </m:r>
            </m:oMath>
            <w:r>
              <w:t xml:space="preserve">​</w:t>
            </w:r>
          </w:p>
        </w:tc>
        <w:tc>
          <w:tcPr>
            <w:vAlign w:val="center"/>
          </w:tcPr>
          <w:p>
            <w:pPr>
              <w:pStyle w:val="MDPI42tablebody"/>
              <w:jc w:val="center"/>
            </w:pPr>
            <m:oMath>
              <m:r>
                <m:rPr>
                  <m:sty m:val="p"/>
                </m:rPr>
                <m:t>−</m:t>
              </m:r>
              <m:r>
                <m:t>1.99</m:t>
              </m:r>
            </m:oMath>
            <w:r>
              <w:t xml:space="preserve">​</w:t>
            </w:r>
          </w:p>
        </w:tc>
        <w:tc>
          <w:tcPr>
            <w:vAlign w:val="center"/>
          </w:tcPr>
          <w:p>
            <w:pPr>
              <w:pStyle w:val="MDPI42tablebody"/>
              <w:jc w:val="center"/>
            </w:pPr>
            <m:oMath>
              <m:r>
                <m:t>2.81</m:t>
              </m:r>
            </m:oMath>
            <w:r>
              <w:t xml:space="preserve">​</w:t>
            </w:r>
          </w:p>
        </w:tc>
        <w:tc>
          <w:tcPr>
            <w:vAlign w:val="center"/>
          </w:tcPr>
          <w:p>
            <w:pPr>
              <w:pStyle w:val="MDPI42tablebody"/>
              <w:jc w:val="center"/>
            </w:pPr>
            <m:oMath>
              <m:r>
                <m:t>1.94</m:t>
              </m:r>
            </m:oMath>
            <w:r>
              <w:t xml:space="preserve">​</w:t>
            </w:r>
          </w:p>
        </w:tc>
        <w:tc>
          <w:tcPr>
            <w:vAlign w:val="center"/>
          </w:tcPr>
          <w:p>
            <w:pPr>
              <w:pStyle w:val="MDPI42tablebody"/>
              <w:jc w:val="center"/>
            </w:pPr>
            <m:oMath>
              <m:r>
                <m:rPr>
                  <m:sty m:val="p"/>
                </m:rPr>
                <m:t>+</m:t>
              </m:r>
              <m:r>
                <m:t>2.26</m:t>
              </m:r>
            </m:oMath>
            <w:r>
              <w:t xml:space="preserve">​</w:t>
            </w:r>
          </w:p>
        </w:tc>
        <w:tc>
          <w:tcPr>
            <w:vAlign w:val="center"/>
          </w:tcPr>
          <w:p>
            <w:pPr>
              <w:pStyle w:val="MDPI42tablebody"/>
              <w:jc w:val="center"/>
            </w:pPr>
            <w:r>
              <w:t xml:space="preserve">4</w:t>
            </w:r>
          </w:p>
        </w:tc>
        <w:tc>
          <w:tcPr>
            <w:vAlign w:val="center"/>
          </w:tcPr>
          <w:p>
            <w:pPr>
              <w:pStyle w:val="MDPI42tablebody"/>
              <w:jc w:val="center"/>
            </w:pPr>
            <w:r>
              <w:t xml:space="preserve">4339</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p_nc</w:t>
            </w:r>
          </w:p>
        </w:tc>
        <w:tc>
          <w:tcPr>
            <w:vAlign w:val="center"/>
          </w:tcPr>
          <w:p>
            <w:pPr>
              <w:pStyle w:val="MDPI42tablebody"/>
              <w:jc w:val="center"/>
            </w:pPr>
            <m:oMath>
              <m:r>
                <m:t>4.56</m:t>
              </m:r>
              <m:r>
                <m:rPr>
                  <m:sty m:val="p"/>
                </m:rPr>
                <m:t>±</m:t>
              </m:r>
              <m:r>
                <m:t>3.09</m:t>
              </m:r>
            </m:oMath>
            <w:r>
              <w:t xml:space="preserve">​</w:t>
            </w:r>
          </w:p>
        </w:tc>
        <w:tc>
          <w:tcPr>
            <w:vAlign w:val="center"/>
          </w:tcPr>
          <w:p>
            <w:pPr>
              <w:pStyle w:val="MDPI42tablebody"/>
              <w:jc w:val="center"/>
            </w:pPr>
            <m:oMath>
              <m:r>
                <m:rPr>
                  <m:sty m:val="p"/>
                </m:rPr>
                <m:t>−</m:t>
              </m:r>
              <m:r>
                <m:t>1.73</m:t>
              </m:r>
              <m:r>
                <m:rPr>
                  <m:sty m:val="p"/>
                </m:rPr>
                <m:t>±</m:t>
              </m:r>
              <m:r>
                <m:t>2.43</m:t>
              </m:r>
            </m:oMath>
            <w:r>
              <w:t xml:space="preserve">​</w:t>
            </w:r>
          </w:p>
        </w:tc>
        <w:tc>
          <w:tcPr>
            <w:vAlign w:val="center"/>
          </w:tcPr>
          <w:p>
            <w:pPr>
              <w:pStyle w:val="MDPI42tablebody"/>
              <w:jc w:val="center"/>
            </w:pPr>
            <m:oMath>
              <m:r>
                <m:t>2.23</m:t>
              </m:r>
              <m:r>
                <m:rPr>
                  <m:sty m:val="p"/>
                </m:rPr>
                <m:t>±</m:t>
              </m:r>
              <m:r>
                <m:t>3.74</m:t>
              </m:r>
            </m:oMath>
            <w:r>
              <w:t xml:space="preserve">​</w:t>
            </w:r>
          </w:p>
        </w:tc>
        <w:tc>
          <w:tcPr>
            <w:vAlign w:val="center"/>
          </w:tcPr>
          <w:p>
            <w:pPr>
              <w:pStyle w:val="MDPI42tablebody"/>
              <w:jc w:val="center"/>
            </w:pPr>
            <m:oMath>
              <m:r>
                <m:t>1.57</m:t>
              </m:r>
              <m:r>
                <m:rPr>
                  <m:sty m:val="p"/>
                </m:rPr>
                <m:t>±</m:t>
              </m:r>
              <m:r>
                <m:t>2.52</m:t>
              </m:r>
            </m:oMath>
            <w:r>
              <w:t xml:space="preserve">​</w:t>
            </w:r>
          </w:p>
        </w:tc>
        <w:tc>
          <w:tcPr>
            <w:vAlign w:val="center"/>
          </w:tcPr>
          <w:p>
            <w:pPr>
              <w:pStyle w:val="MDPI42tablebody"/>
              <w:jc w:val="center"/>
            </w:pPr>
            <m:oMath>
              <m:r>
                <m:rPr>
                  <m:sty m:val="p"/>
                </m:rPr>
                <m:t>+</m:t>
              </m:r>
              <m:r>
                <m:t>1.66</m:t>
              </m:r>
              <m:r>
                <m:rPr>
                  <m:sty m:val="p"/>
                </m:rPr>
                <m:t>±</m:t>
              </m:r>
              <m:r>
                <m:t>3.71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4138</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p_nc</w:t>
            </w:r>
          </w:p>
        </w:tc>
        <w:tc>
          <w:tcPr>
            <w:vAlign w:val="center"/>
          </w:tcPr>
          <w:p>
            <w:pPr>
              <w:pStyle w:val="MDPI42tablebody"/>
              <w:jc w:val="center"/>
            </w:pPr>
            <m:oMath>
              <m:r>
                <m:t>4.74</m:t>
              </m:r>
              <m:r>
                <m:rPr>
                  <m:sty m:val="p"/>
                </m:rPr>
                <m:t>±</m:t>
              </m:r>
              <m:r>
                <m:t>2.59</m:t>
              </m:r>
            </m:oMath>
            <w:r>
              <w:t xml:space="preserve">​</w:t>
            </w:r>
          </w:p>
        </w:tc>
        <w:tc>
          <w:tcPr>
            <w:vAlign w:val="center"/>
          </w:tcPr>
          <w:p>
            <w:pPr>
              <w:pStyle w:val="MDPI42tablebody"/>
              <w:jc w:val="center"/>
            </w:pPr>
            <m:oMath>
              <m:r>
                <m:rPr>
                  <m:sty m:val="p"/>
                </m:rPr>
                <m:t>−</m:t>
              </m:r>
              <m:r>
                <m:t>1.59</m:t>
              </m:r>
              <m:r>
                <m:rPr>
                  <m:sty m:val="p"/>
                </m:rPr>
                <m:t>±</m:t>
              </m:r>
              <m:r>
                <m:t>1.09</m:t>
              </m:r>
            </m:oMath>
            <w:r>
              <w:t xml:space="preserve">​</w:t>
            </w:r>
          </w:p>
        </w:tc>
        <w:tc>
          <w:tcPr>
            <w:vAlign w:val="center"/>
          </w:tcPr>
          <w:p>
            <w:pPr>
              <w:pStyle w:val="MDPI42tablebody"/>
              <w:jc w:val="center"/>
            </w:pPr>
            <m:oMath>
              <m:r>
                <m:t>1.70</m:t>
              </m:r>
              <m:r>
                <m:rPr>
                  <m:sty m:val="p"/>
                </m:rPr>
                <m:t>±</m:t>
              </m:r>
              <m:r>
                <m:t>1.78</m:t>
              </m:r>
            </m:oMath>
            <w:r>
              <w:t xml:space="preserve">​</w:t>
            </w:r>
          </w:p>
        </w:tc>
        <w:tc>
          <w:tcPr>
            <w:vAlign w:val="center"/>
          </w:tcPr>
          <w:p>
            <w:pPr>
              <w:pStyle w:val="MDPI42tablebody"/>
              <w:jc w:val="center"/>
            </w:pPr>
            <m:oMath>
              <m:r>
                <m:t>0.63</m:t>
              </m:r>
              <m:r>
                <m:rPr>
                  <m:sty m:val="p"/>
                </m:rPr>
                <m:t>±</m:t>
              </m:r>
              <m:r>
                <m:t>1.37</m:t>
              </m:r>
            </m:oMath>
            <w:r>
              <w:t xml:space="preserve">​</w:t>
            </w:r>
          </w:p>
        </w:tc>
        <w:tc>
          <w:tcPr>
            <w:vAlign w:val="center"/>
          </w:tcPr>
          <w:p>
            <w:pPr>
              <w:pStyle w:val="MDPI42tablebody"/>
              <w:jc w:val="center"/>
            </w:pPr>
            <m:oMath>
              <m:r>
                <m:rPr>
                  <m:sty m:val="p"/>
                </m:rPr>
                <m:t>+</m:t>
              </m:r>
              <m:r>
                <m:t>1.37</m:t>
              </m:r>
              <m:r>
                <m:rPr>
                  <m:sty m:val="p"/>
                </m:rPr>
                <m:t>±</m:t>
              </m:r>
              <m:r>
                <m:t>2.89</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3615</w:t>
            </w:r>
          </w:p>
        </w:tc>
      </w:tr>
      <w:tr>
        <w:tc>
          <w:tcPr>
            <w:vAlign w:val="center"/>
          </w:tcPr>
          <w:p>
            <w:pPr>
              <w:pStyle w:val="MDPI42tablebody"/>
              <w:jc w:val="center"/>
            </w:pPr>
            <w:r>
              <w:rPr>
                <w:rStyle w:val="VerbatimChar"/>
              </w:rPr>
              <w:t xml:space="preserve">ppo</w:t>
            </w:r>
          </w:p>
        </w:tc>
        <w:tc>
          <w:tcPr>
            <w:vAlign w:val="center"/>
          </w:tcPr>
          <w:p>
            <w:pPr>
              <w:pStyle w:val="MDPI42tablebody"/>
              <w:jc w:val="center"/>
            </w:pPr>
            <w:r>
              <w:t xml:space="preserve">–</w:t>
            </w:r>
          </w:p>
        </w:tc>
        <w:tc>
          <w:tcPr>
            <w:vAlign w:val="center"/>
          </w:tcPr>
          <w:p>
            <w:pPr>
              <w:pStyle w:val="MDPI42tablebody"/>
              <w:jc w:val="center"/>
            </w:pPr>
            <m:oMath>
              <m:r>
                <m:t>3.36</m:t>
              </m:r>
              <m:r>
                <m:rPr>
                  <m:sty m:val="p"/>
                </m:rPr>
                <m:t>±</m:t>
              </m:r>
              <m:r>
                <m:t>1.59</m:t>
              </m:r>
            </m:oMath>
            <w:r>
              <w:t xml:space="preserve">​</w:t>
            </w:r>
          </w:p>
        </w:tc>
        <w:tc>
          <w:tcPr>
            <w:vAlign w:val="center"/>
          </w:tcPr>
          <w:p>
            <w:pPr>
              <w:pStyle w:val="MDPI42tablebody"/>
              <w:jc w:val="center"/>
            </w:pPr>
            <m:oMath>
              <m:r>
                <m:rPr>
                  <m:sty m:val="p"/>
                </m:rPr>
                <m:t>−</m:t>
              </m:r>
              <m:r>
                <m:t>2.10</m:t>
              </m:r>
              <m:r>
                <m:rPr>
                  <m:sty m:val="p"/>
                </m:rPr>
                <m:t>±</m:t>
              </m:r>
              <m:r>
                <m:t>1.03</m:t>
              </m:r>
            </m:oMath>
            <w:r>
              <w:t xml:space="preserve">​</w:t>
            </w:r>
          </w:p>
        </w:tc>
        <w:tc>
          <w:tcPr>
            <w:vAlign w:val="center"/>
          </w:tcPr>
          <w:p>
            <w:pPr>
              <w:pStyle w:val="MDPI42tablebody"/>
              <w:jc w:val="center"/>
            </w:pPr>
            <m:oMath>
              <m:r>
                <m:t>1.72</m:t>
              </m:r>
              <m:r>
                <m:rPr>
                  <m:sty m:val="p"/>
                </m:rPr>
                <m:t>±</m:t>
              </m:r>
              <m:r>
                <m:t>1.19</m:t>
              </m:r>
            </m:oMath>
            <w:r>
              <w:t xml:space="preserve">​</w:t>
            </w:r>
          </w:p>
        </w:tc>
        <w:tc>
          <w:tcPr>
            <w:vAlign w:val="center"/>
          </w:tcPr>
          <w:p>
            <w:pPr>
              <w:pStyle w:val="MDPI42tablebody"/>
              <w:jc w:val="center"/>
            </w:pPr>
            <m:oMath>
              <m:r>
                <m:rPr>
                  <m:sty m:val="p"/>
                </m:rPr>
                <m:t>−</m:t>
              </m:r>
              <m:r>
                <m:t>1.17</m:t>
              </m:r>
              <m:r>
                <m:rPr>
                  <m:sty m:val="p"/>
                </m:rPr>
                <m:t>±</m:t>
              </m:r>
              <m:r>
                <m:t>3.40</m:t>
              </m:r>
            </m:oMath>
            <w:r>
              <w:t xml:space="preserve">​</w:t>
            </w:r>
          </w:p>
        </w:tc>
        <w:tc>
          <w:tcPr>
            <w:vAlign w:val="center"/>
          </w:tcPr>
          <w:p>
            <w:pPr>
              <w:pStyle w:val="MDPI42tablebody"/>
              <w:jc w:val="center"/>
            </w:pPr>
            <m:oMath>
              <m:r>
                <m:rPr>
                  <m:sty m:val="p"/>
                </m:rPr>
                <m:t>+</m:t>
              </m:r>
              <m:r>
                <m:t>0.45</m:t>
              </m:r>
              <m:r>
                <m:rPr>
                  <m:sty m:val="p"/>
                </m:rPr>
                <m:t>±</m:t>
              </m:r>
              <m:r>
                <m:t>2.97</m:t>
              </m:r>
            </m:oMath>
            <w:r>
              <w:t xml:space="preserve">​</w:t>
            </w:r>
          </w:p>
        </w:tc>
        <w:tc>
          <w:tcPr>
            <w:vAlign w:val="center"/>
          </w:tcPr>
          <w:p>
            <w:pPr>
              <w:pStyle w:val="MDPI42tablebody"/>
              <w:jc w:val="center"/>
            </w:pPr>
            <w:r>
              <w:t xml:space="preserve">80</w:t>
            </w:r>
          </w:p>
        </w:tc>
        <w:tc>
          <w:tcPr>
            <w:vAlign w:val="center"/>
          </w:tcPr>
          <w:p>
            <w:pPr>
              <w:pStyle w:val="MDPI42tablebody"/>
              <w:jc w:val="center"/>
            </w:pPr>
            <w:r>
              <w:rPr>
                <w:b/>
                <w:bCs/>
              </w:rPr>
              <w:t xml:space="preserve">1330</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p_nc</w:t>
            </w:r>
          </w:p>
        </w:tc>
        <w:tc>
          <w:tcPr>
            <w:vAlign w:val="center"/>
          </w:tcPr>
          <w:p>
            <w:pPr>
              <w:pStyle w:val="MDPI42tablebody"/>
              <w:jc w:val="center"/>
            </w:pPr>
            <m:oMath>
              <m:r>
                <m:t>3.88</m:t>
              </m:r>
              <m:r>
                <m:rPr>
                  <m:sty m:val="p"/>
                </m:rPr>
                <m:t>±</m:t>
              </m:r>
              <m:r>
                <m:t>4.23</m:t>
              </m:r>
            </m:oMath>
            <w:r>
              <w:t xml:space="preserve">​</w:t>
            </w:r>
          </w:p>
        </w:tc>
        <w:tc>
          <w:tcPr>
            <w:vAlign w:val="center"/>
          </w:tcPr>
          <w:p>
            <w:pPr>
              <w:pStyle w:val="MDPI42tablebody"/>
              <w:jc w:val="center"/>
            </w:pPr>
            <m:oMath>
              <m:r>
                <m:rPr>
                  <m:sty m:val="p"/>
                </m:rPr>
                <m:t>−</m:t>
              </m:r>
              <m:r>
                <m:t>3.16</m:t>
              </m:r>
              <m:r>
                <m:rPr>
                  <m:sty m:val="p"/>
                </m:rPr>
                <m:t>±</m:t>
              </m:r>
              <m:r>
                <m:t>1.34</m:t>
              </m:r>
            </m:oMath>
            <w:r>
              <w:t xml:space="preserve">​</w:t>
            </w:r>
          </w:p>
        </w:tc>
        <w:tc>
          <w:tcPr>
            <w:vAlign w:val="center"/>
          </w:tcPr>
          <w:p>
            <w:pPr>
              <w:pStyle w:val="MDPI42tablebody"/>
              <w:jc w:val="center"/>
            </w:pPr>
            <m:oMath>
              <m:r>
                <m:rPr>
                  <m:sty m:val="p"/>
                </m:rPr>
                <m:t>−</m:t>
              </m:r>
              <m:r>
                <m:t>0.31</m:t>
              </m:r>
              <m:r>
                <m:rPr>
                  <m:sty m:val="p"/>
                </m:rPr>
                <m:t>±</m:t>
              </m:r>
              <m:r>
                <m:t>3.42</m:t>
              </m:r>
            </m:oMath>
            <w:r>
              <w:t xml:space="preserve">​</w:t>
            </w:r>
          </w:p>
        </w:tc>
        <w:tc>
          <w:tcPr>
            <w:vAlign w:val="center"/>
          </w:tcPr>
          <w:p>
            <w:pPr>
              <w:pStyle w:val="MDPI42tablebody"/>
              <w:jc w:val="center"/>
            </w:pPr>
            <m:oMath>
              <m:r>
                <m:t>0.72</m:t>
              </m:r>
              <m:r>
                <m:rPr>
                  <m:sty m:val="p"/>
                </m:rPr>
                <m:t>±</m:t>
              </m:r>
              <m:r>
                <m:t>3.46</m:t>
              </m:r>
            </m:oMath>
            <w:r>
              <w:t xml:space="preserve">​</w:t>
            </w:r>
          </w:p>
        </w:tc>
        <w:tc>
          <w:tcPr>
            <w:vAlign w:val="center"/>
          </w:tcPr>
          <w:p>
            <w:pPr>
              <w:pStyle w:val="MDPI42tablebody"/>
              <w:jc w:val="center"/>
            </w:pPr>
            <m:oMath>
              <m:r>
                <m:rPr>
                  <m:sty m:val="p"/>
                </m:rPr>
                <m:t>+</m:t>
              </m:r>
              <m:r>
                <m:t>0.28</m:t>
              </m:r>
              <m:r>
                <m:rPr>
                  <m:sty m:val="p"/>
                </m:rPr>
                <m:t>±</m:t>
              </m:r>
              <m:r>
                <m:t>4.11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4755</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w:r>
              <w:t xml:space="preserve">–</w:t>
            </w:r>
          </w:p>
        </w:tc>
        <w:tc>
          <w:tcPr>
            <w:vAlign w:val="center"/>
          </w:tcPr>
          <w:p>
            <w:pPr>
              <w:pStyle w:val="MDPI42tablebody"/>
              <w:jc w:val="center"/>
            </w:pPr>
            <m:oMath>
              <m:r>
                <m:t>4.63</m:t>
              </m:r>
              <m:r>
                <m:rPr>
                  <m:sty m:val="p"/>
                </m:rPr>
                <m:t>±</m:t>
              </m:r>
              <m:r>
                <m:t>0.00</m:t>
              </m:r>
            </m:oMath>
            <w:r>
              <w:t xml:space="preserve">​</w:t>
            </w:r>
          </w:p>
        </w:tc>
        <w:tc>
          <w:tcPr>
            <w:vAlign w:val="center"/>
          </w:tcPr>
          <w:p>
            <w:pPr>
              <w:pStyle w:val="MDPI42tablebody"/>
              <w:jc w:val="center"/>
            </w:pPr>
            <m:oMath>
              <m:r>
                <m:rPr>
                  <m:sty m:val="p"/>
                </m:rPr>
                <m:t>−</m:t>
              </m:r>
              <m:r>
                <m:t>6.97</m:t>
              </m:r>
              <m:r>
                <m:rPr>
                  <m:sty m:val="p"/>
                </m:rPr>
                <m:t>±</m:t>
              </m:r>
              <m:r>
                <m:t>0.00</m:t>
              </m:r>
            </m:oMath>
            <w:r>
              <w:t xml:space="preserve">​</w:t>
            </w:r>
          </w:p>
        </w:tc>
        <w:tc>
          <w:tcPr>
            <w:vAlign w:val="center"/>
          </w:tcPr>
          <w:p>
            <w:pPr>
              <w:pStyle w:val="MDPI42tablebody"/>
              <w:jc w:val="center"/>
            </w:pPr>
            <m:oMath>
              <m:r>
                <m:t>1.33</m:t>
              </m:r>
              <m:r>
                <m:rPr>
                  <m:sty m:val="p"/>
                </m:rPr>
                <m:t>±</m:t>
              </m:r>
              <m:r>
                <m:t>0.00</m:t>
              </m:r>
            </m:oMath>
            <w:r>
              <w:t xml:space="preserve">​</w:t>
            </w:r>
          </w:p>
        </w:tc>
        <w:tc>
          <w:tcPr>
            <w:vAlign w:val="center"/>
          </w:tcPr>
          <w:p>
            <w:pPr>
              <w:pStyle w:val="MDPI42tablebody"/>
              <w:jc w:val="center"/>
            </w:pPr>
            <m:oMath>
              <m:r>
                <m:rPr>
                  <m:sty m:val="p"/>
                </m:rPr>
                <m:t>−</m:t>
              </m:r>
              <m:r>
                <m:t>3.81</m:t>
              </m:r>
              <m:r>
                <m:rPr>
                  <m:sty m:val="p"/>
                </m:rPr>
                <m:t>±</m:t>
              </m:r>
              <m:r>
                <m:t>0.00</m:t>
              </m:r>
            </m:oMath>
            <w:r>
              <w:t xml:space="preserve">​</w:t>
            </w:r>
          </w:p>
        </w:tc>
        <w:tc>
          <w:tcPr>
            <w:vAlign w:val="center"/>
          </w:tcPr>
          <w:p>
            <w:pPr>
              <w:pStyle w:val="MDPI42tablebody"/>
              <w:jc w:val="center"/>
            </w:pPr>
            <m:oMath>
              <m:r>
                <m:rPr>
                  <m:sty m:val="p"/>
                </m:rPr>
                <m:t>−</m:t>
              </m:r>
              <m:r>
                <m:t>1.21</m:t>
              </m:r>
              <m:r>
                <m:rPr>
                  <m:sty m:val="p"/>
                </m:rPr>
                <m:t>±</m:t>
              </m:r>
              <m:r>
                <m:t>4.52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2810</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w:t>
            </w:r>
          </w:p>
        </w:tc>
        <w:tc>
          <w:tcPr>
            <w:vAlign w:val="center"/>
          </w:tcPr>
          <w:p>
            <w:pPr>
              <w:pStyle w:val="MDPI42tablebody"/>
              <w:jc w:val="center"/>
            </w:pPr>
            <m:oMath>
              <m:r>
                <m:t>2.77</m:t>
              </m:r>
              <m:r>
                <m:rPr>
                  <m:sty m:val="p"/>
                </m:rPr>
                <m:t>±</m:t>
              </m:r>
              <m:r>
                <m:t>0.08</m:t>
              </m:r>
            </m:oMath>
            <w:r>
              <w:t xml:space="preserve">​</w:t>
            </w:r>
          </w:p>
        </w:tc>
        <w:tc>
          <w:tcPr>
            <w:vAlign w:val="center"/>
          </w:tcPr>
          <w:p>
            <w:pPr>
              <w:pStyle w:val="MDPI42tablebody"/>
              <w:jc w:val="center"/>
            </w:pPr>
            <m:oMath>
              <m:r>
                <m:rPr>
                  <m:sty m:val="p"/>
                </m:rPr>
                <m:t>−</m:t>
              </m:r>
              <m:r>
                <m:t>6.76</m:t>
              </m:r>
              <m:r>
                <m:rPr>
                  <m:sty m:val="p"/>
                </m:rPr>
                <m:t>±</m:t>
              </m:r>
              <m:r>
                <m:t>0.09</m:t>
              </m:r>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3.95</m:t>
              </m:r>
              <m:r>
                <m:rPr>
                  <m:sty m:val="p"/>
                </m:rPr>
                <m:t>±</m:t>
              </m:r>
              <m:r>
                <m:t>0.06</m:t>
              </m:r>
            </m:oMath>
            <w:r>
              <w:t xml:space="preserve">​</w:t>
            </w:r>
          </w:p>
        </w:tc>
        <w:tc>
          <w:tcPr>
            <w:vAlign w:val="center"/>
          </w:tcPr>
          <w:p>
            <w:pPr>
              <w:pStyle w:val="MDPI42tablebody"/>
              <w:jc w:val="center"/>
            </w:pPr>
            <m:oMath>
              <m:r>
                <m:rPr>
                  <m:sty m:val="p"/>
                </m:rPr>
                <m:t>−</m:t>
              </m:r>
              <m:r>
                <m:t>2.65</m:t>
              </m:r>
              <m:r>
                <m:rPr>
                  <m:sty m:val="p"/>
                </m:rPr>
                <m:t>±</m:t>
              </m:r>
              <m:r>
                <m:t>4.03</m:t>
              </m:r>
            </m:oMath>
            <w:r>
              <w:t xml:space="preserve">​</w:t>
            </w:r>
          </w:p>
        </w:tc>
        <w:tc>
          <w:tcPr>
            <w:vAlign w:val="center"/>
          </w:tcPr>
          <w:p>
            <w:pPr>
              <w:pStyle w:val="MDPI42tablebody"/>
              <w:jc w:val="center"/>
            </w:pPr>
            <w:r>
              <w:t xml:space="preserve">60</w:t>
            </w:r>
          </w:p>
        </w:tc>
        <w:tc>
          <w:tcPr>
            <w:vAlign w:val="center"/>
          </w:tcPr>
          <w:p>
            <w:pPr>
              <w:pStyle w:val="MDPI42tablebody"/>
              <w:jc w:val="center"/>
            </w:pPr>
            <w:r>
              <w:t xml:space="preserve">3321</w:t>
            </w:r>
          </w:p>
        </w:tc>
      </w:tr>
      <w:t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phys</w:t>
            </w:r>
            <m:oMath>
              <m:sSup>
                <m:e>
                  <m:r>
                    <m:t>​</m:t>
                  </m:r>
                </m:e>
                <m:sup>
                  <m:r>
                    <m:rPr>
                      <m:sty m:val="p"/>
                    </m:rPr>
                    <m:t>*</m:t>
                  </m:r>
                </m:sup>
              </m:sSup>
            </m:oMath>
          </w:p>
        </w:tc>
        <w:tc>
          <w:tcPr>
            <w:vAlign w:val="center"/>
          </w:tcPr>
          <w:p>
            <w:pPr>
              <w:pStyle w:val="MDPI42tablebody"/>
              <w:jc w:val="center"/>
            </w:pPr>
            <m:oMath>
              <m:r>
                <m:rPr>
                  <m:sty m:val="p"/>
                </m:rPr>
                <m:t>−</m:t>
              </m:r>
              <m:r>
                <m:t>1.78</m:t>
              </m:r>
              <m:r>
                <m:rPr>
                  <m:sty m:val="p"/>
                </m:rPr>
                <m:t>±</m:t>
              </m:r>
              <m:r>
                <m:t>1.95</m:t>
              </m:r>
            </m:oMath>
            <w:r>
              <w:t xml:space="preserve">​</w:t>
            </w:r>
          </w:p>
        </w:tc>
        <w:tc>
          <w:tcPr>
            <w:vAlign w:val="center"/>
          </w:tcPr>
          <w:p>
            <w:pPr>
              <w:pStyle w:val="MDPI42tablebody"/>
              <w:jc w:val="center"/>
            </w:pPr>
            <m:oMath>
              <m:r>
                <m:rPr>
                  <m:sty m:val="p"/>
                </m:rPr>
                <m:t>−</m:t>
              </m:r>
              <m:r>
                <m:t>5.94</m:t>
              </m:r>
              <m:r>
                <m:rPr>
                  <m:sty m:val="p"/>
                </m:rPr>
                <m:t>±</m:t>
              </m:r>
              <m:r>
                <m:t>1.99</m:t>
              </m:r>
            </m:oMath>
            <w:r>
              <w:t xml:space="preserve">​</w:t>
            </w:r>
          </w:p>
        </w:tc>
        <w:tc>
          <w:tcPr>
            <w:vAlign w:val="center"/>
          </w:tcPr>
          <w:p>
            <w:pPr>
              <w:pStyle w:val="MDPI42tablebody"/>
              <w:jc w:val="center"/>
            </w:pPr>
            <m:oMath>
              <m:r>
                <m:rPr>
                  <m:sty m:val="p"/>
                </m:rPr>
                <m:t>−</m:t>
              </m:r>
              <m:r>
                <m:t>4.63</m:t>
              </m:r>
              <m:r>
                <m:rPr>
                  <m:sty m:val="p"/>
                </m:rPr>
                <m:t>±</m:t>
              </m:r>
              <m:r>
                <m:t>1.82</m:t>
              </m:r>
            </m:oMath>
            <w:r>
              <w:t xml:space="preserve">​</w:t>
            </w:r>
          </w:p>
        </w:tc>
        <w:tc>
          <w:tcPr>
            <w:vAlign w:val="center"/>
          </w:tcPr>
          <w:p>
            <w:pPr>
              <w:pStyle w:val="MDPI42tablebody"/>
              <w:jc w:val="center"/>
            </w:pPr>
            <m:oMath>
              <m:r>
                <m:rPr>
                  <m:sty m:val="p"/>
                </m:rPr>
                <m:t>−</m:t>
              </m:r>
              <m:r>
                <m:t>2.93</m:t>
              </m:r>
              <m:r>
                <m:rPr>
                  <m:sty m:val="p"/>
                </m:rPr>
                <m:t>±</m:t>
              </m:r>
              <m:r>
                <m:t>1.73</m:t>
              </m:r>
            </m:oMath>
            <w:r>
              <w:t xml:space="preserve">​</w:t>
            </w:r>
          </w:p>
        </w:tc>
        <w:tc>
          <w:tcPr>
            <w:vAlign w:val="center"/>
          </w:tcPr>
          <w:p>
            <w:pPr>
              <w:pStyle w:val="MDPI42tablebody"/>
              <w:jc w:val="center"/>
            </w:pPr>
            <m:oMath>
              <m:r>
                <m:rPr>
                  <m:sty m:val="p"/>
                </m:rPr>
                <m:t>−</m:t>
              </m:r>
              <m:r>
                <m:t>3.82</m:t>
              </m:r>
              <m:r>
                <m:rPr>
                  <m:sty m:val="p"/>
                </m:rPr>
                <m:t>±</m:t>
              </m:r>
              <m:r>
                <m:t>2.42</m:t>
              </m:r>
            </m:oMath>
            <w:r>
              <w:t xml:space="preserve">​</w:t>
            </w:r>
          </w:p>
        </w:tc>
        <w:tc>
          <w:tcPr>
            <w:vAlign w:val="center"/>
          </w:tcPr>
          <w:p>
            <w:pPr>
              <w:pStyle w:val="MDPI42tablebody"/>
              <w:jc w:val="center"/>
            </w:pPr>
            <w:r>
              <w:t xml:space="preserve">40</w:t>
            </w:r>
          </w:p>
        </w:tc>
        <w:tc>
          <w:tcPr>
            <w:vAlign w:val="center"/>
          </w:tcPr>
          <w:p>
            <w:pPr>
              <w:pStyle w:val="MDPI42tablebody"/>
              <w:jc w:val="center"/>
            </w:pPr>
            <w:r>
              <w:t xml:space="preserve">2818</w:t>
            </w:r>
          </w:p>
        </w:tc>
      </w:tr>
      <w:tr>
        <w:tc>
          <w:tcPr>
            <w:vAlign w:val="center"/>
          </w:tcPr>
          <w:p>
            <w:pPr>
              <w:pStyle w:val="MDPI42tablebody"/>
              <w:jc w:val="center"/>
            </w:pPr>
            <w:r>
              <w:rPr>
                <w:rStyle w:val="VerbatimChar"/>
              </w:rPr>
              <w:t xml:space="preserve">sac</w:t>
            </w:r>
          </w:p>
        </w:tc>
        <w:tc>
          <w:tcPr>
            <w:vAlign w:val="center"/>
          </w:tcPr>
          <w:p>
            <w:pPr>
              <w:pStyle w:val="MDPI42tablebody"/>
              <w:jc w:val="center"/>
            </w:pPr>
            <w:r>
              <w:t xml:space="preserve">–</w:t>
            </w:r>
          </w:p>
        </w:tc>
        <w:tc>
          <w:tcPr>
            <w:vAlign w:val="center"/>
          </w:tcPr>
          <w:p>
            <w:pPr>
              <w:pStyle w:val="MDPI42tablebody"/>
              <w:jc w:val="center"/>
            </w:pPr>
            <m:oMath>
              <m:r>
                <m:rPr>
                  <m:sty m:val="p"/>
                </m:rPr>
                <m:t>−</m:t>
              </m:r>
              <m:r>
                <m:t>2.43</m:t>
              </m:r>
              <m:r>
                <m:rPr>
                  <m:sty m:val="p"/>
                </m:rPr>
                <m:t>±</m:t>
              </m:r>
              <m:r>
                <m:t>1.33</m:t>
              </m:r>
            </m:oMath>
            <w:r>
              <w:t xml:space="preserve">​</w:t>
            </w:r>
          </w:p>
        </w:tc>
        <w:tc>
          <w:tcPr>
            <w:vAlign w:val="center"/>
          </w:tcPr>
          <w:p>
            <w:pPr>
              <w:pStyle w:val="MDPI42tablebody"/>
              <w:jc w:val="center"/>
            </w:pPr>
            <m:oMath>
              <m:r>
                <m:rPr>
                  <m:sty m:val="p"/>
                </m:rPr>
                <m:t>−</m:t>
              </m:r>
              <m:r>
                <m:t>6.13</m:t>
              </m:r>
              <m:r>
                <m:rPr>
                  <m:sty m:val="p"/>
                </m:rPr>
                <m:t>±</m:t>
              </m:r>
              <m:r>
                <m:t>1.47</m:t>
              </m:r>
            </m:oMath>
            <w:r>
              <w:t xml:space="preserve">​</w:t>
            </w:r>
          </w:p>
        </w:tc>
        <w:tc>
          <w:tcPr>
            <w:vAlign w:val="center"/>
          </w:tcPr>
          <w:p>
            <w:pPr>
              <w:pStyle w:val="MDPI42tablebody"/>
              <w:jc w:val="center"/>
            </w:pPr>
            <m:oMath>
              <m:r>
                <m:rPr>
                  <m:sty m:val="p"/>
                </m:rPr>
                <m:t>−</m:t>
              </m:r>
              <m:r>
                <m:t>2.99</m:t>
              </m:r>
              <m:r>
                <m:rPr>
                  <m:sty m:val="p"/>
                </m:rPr>
                <m:t>±</m:t>
              </m:r>
              <m:r>
                <m:t>1.61</m:t>
              </m:r>
            </m:oMath>
            <w:r>
              <w:t xml:space="preserve">​</w:t>
            </w:r>
          </w:p>
        </w:tc>
        <w:tc>
          <w:tcPr>
            <w:vAlign w:val="center"/>
          </w:tcPr>
          <w:p>
            <w:pPr>
              <w:pStyle w:val="MDPI42tablebody"/>
              <w:jc w:val="center"/>
            </w:pPr>
            <m:oMath>
              <m:r>
                <m:rPr>
                  <m:sty m:val="p"/>
                </m:rPr>
                <m:t>−</m:t>
              </m:r>
              <m:r>
                <m:t>5.05</m:t>
              </m:r>
              <m:r>
                <m:rPr>
                  <m:sty m:val="p"/>
                </m:rPr>
                <m:t>±</m:t>
              </m:r>
              <m:r>
                <m:t>1.20</m:t>
              </m:r>
            </m:oMath>
            <w:r>
              <w:t xml:space="preserve">​</w:t>
            </w:r>
          </w:p>
        </w:tc>
        <w:tc>
          <w:tcPr>
            <w:vAlign w:val="center"/>
          </w:tcPr>
          <w:p>
            <w:pPr>
              <w:pStyle w:val="MDPI42tablebody"/>
              <w:jc w:val="center"/>
            </w:pPr>
            <m:oMath>
              <m:r>
                <m:rPr>
                  <m:sty m:val="p"/>
                </m:rPr>
                <m:t>−</m:t>
              </m:r>
              <m:r>
                <m:t>4.15</m:t>
              </m:r>
              <m:r>
                <m:rPr>
                  <m:sty m:val="p"/>
                </m:rPr>
                <m:t>±</m:t>
              </m:r>
              <m:r>
                <m:t>2.05</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1689</w:t>
            </w:r>
          </w:p>
        </w:tc>
      </w:tr>
    </w:tbl>
    <w:bookmarkEnd w:id="47"/>
    <w:p>
      <w:pPr>
        <w:pStyle w:val="MDPI31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8" w:name="tab:wilcoxon"/>
    <w:p>
      <w:pPr>
        <w:pStyle w:val="MDPI41tablecaption"/>
      </w:pPr>
      <w:r>
        <w:rPr>
          <w:b/>
        </w:rPr>
        <w:t xml:space="preserve">Table 7. </w:t>
      </w: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MDPI41threelinetable"/>
        <w:tblW w:type="auto" w:w="0"/>
        <w:tblLook w:firstRow="1" w:lastRow="0" w:firstColumn="0" w:lastColumn="0" w:noHBand="0" w:noVBand="0" w:val="0020"/>
        <w:tblCaption w:val="Paired comparison against the tuned rule-based reference (priced objective). \Delta = \text{controller} - \text{tuned} in EUR m^{-2}; Wilcoxon signed-rank [33] with Holm correction [34]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vAlign w:val="center"/>
          </w:tcPr>
          <w:p>
            <w:pPr>
              <w:pStyle w:val="MDPI42tablebody"/>
              <w:jc w:val="center"/>
            </w:pPr>
            <w:r>
              <w:t xml:space="preserve">Controller</w:t>
            </w:r>
          </w:p>
        </w:tc>
        <w:tc>
          <w:tcPr>
            <w:vAlign w:val="center"/>
          </w:tcPr>
          <w:p>
            <w:pPr>
              <w:pStyle w:val="MDPI42tablebody"/>
              <w:jc w:val="center"/>
            </w:pPr>
            <m:oMath>
              <m:r>
                <m:rPr>
                  <m:sty m:val="p"/>
                </m:rPr>
                <m:t>Δ</m:t>
              </m:r>
            </m:oMath>
            <w:r>
              <w:t xml:space="preserve"> </w:t>
            </w:r>
            <w:r>
              <w:t xml:space="preserve">mean</w:t>
            </w:r>
          </w:p>
        </w:tc>
        <w:tc>
          <w:tcPr>
            <w:vAlign w:val="center"/>
          </w:tcPr>
          <w:p>
            <w:pPr>
              <w:pStyle w:val="MDPI42tablebody"/>
              <w:jc w:val="center"/>
            </w:pPr>
            <m:oMath>
              <m:r>
                <m:rPr>
                  <m:sty m:val="p"/>
                </m:rPr>
                <m:t>Δ</m:t>
              </m:r>
            </m:oMath>
            <w:r>
              <w:t xml:space="preserve"> </w:t>
            </w:r>
            <w:r>
              <w:t xml:space="preserve">median</w:t>
            </w:r>
          </w:p>
        </w:tc>
        <w:tc>
          <w:tcPr>
            <w:vAlign w:val="center"/>
          </w:tcPr>
          <w:p>
            <w:pPr>
              <w:pStyle w:val="MDPI42tablebody"/>
              <w:jc w:val="center"/>
            </w:pPr>
            <w:r>
              <w:t xml:space="preserve">Wins/</w:t>
            </w:r>
            <m:oMath>
              <m:r>
                <m:t>n</m:t>
              </m:r>
            </m:oMath>
          </w:p>
        </w:tc>
        <w:tc>
          <w:tcPr>
            <w:vAlign w:val="center"/>
          </w:tcPr>
          <w:p>
            <w:pPr>
              <w:pStyle w:val="MDPI42tablebody"/>
              <w:jc w:val="center"/>
            </w:pPr>
            <m:oMath>
              <m:sSub>
                <m:e>
                  <m:r>
                    <m:t>p</m:t>
                  </m:r>
                </m:e>
                <m:sub>
                  <m:r>
                    <m:rPr>
                      <m:sty m:val="p"/>
                    </m:rPr>
                    <m:t>Holm</m:t>
                  </m:r>
                </m:sub>
              </m:sSub>
            </m:oMath>
            <w:r>
              <w:t xml:space="preserve">​</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2.06</m:t>
              </m:r>
            </m:oMath>
            <w:r>
              <w:t xml:space="preserve">​</w:t>
            </w:r>
          </w:p>
        </w:tc>
        <w:tc>
          <w:tcPr>
            <w:vAlign w:val="center"/>
          </w:tcPr>
          <w:p>
            <w:pPr>
              <w:pStyle w:val="MDPI42tablebody"/>
              <w:jc w:val="center"/>
            </w:pPr>
            <m:oMath>
              <m:r>
                <m:rPr>
                  <m:sty m:val="p"/>
                </m:rPr>
                <m:t>+</m:t>
              </m:r>
              <m:r>
                <m:t>2.85</m:t>
              </m:r>
            </m:oMath>
            <w:r>
              <w:t xml:space="preserve">​</w:t>
            </w:r>
          </w:p>
        </w:tc>
        <w:tc>
          <w:tcPr>
            <w:vAlign w:val="center"/>
          </w:tcPr>
          <w:p>
            <w:pPr>
              <w:pStyle w:val="MDPI42tablebody"/>
              <w:jc w:val="center"/>
            </w:pPr>
            <w:r>
              <w:t xml:space="preserve">75/80</w:t>
            </w:r>
          </w:p>
        </w:tc>
        <w:tc>
          <w:tcPr>
            <w:vAlign w:val="center"/>
          </w:tcPr>
          <w:p>
            <w:pPr>
              <w:pStyle w:val="MDPI42tablebody"/>
              <w:jc w:val="center"/>
            </w:pPr>
            <m:oMath>
              <m:r>
                <m:t>8.3</m:t>
              </m:r>
              <m:r>
                <m:rPr>
                  <m:sty m:val="p"/>
                </m:rPr>
                <m:t>×</m:t>
              </m:r>
              <m:sSup>
                <m:e>
                  <m:r>
                    <m:t>10</m:t>
                  </m:r>
                </m:e>
                <m:sup>
                  <m:r>
                    <m:rPr>
                      <m:sty m:val="p"/>
                    </m:rPr>
                    <m:t>−</m:t>
                  </m:r>
                  <m:r>
                    <m:t>11</m:t>
                  </m:r>
                </m:sup>
              </m:sSup>
            </m:oMath>
            <w:r>
              <w:t xml:space="preserve">​</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m:oMath>
              <m:r>
                <m:rPr>
                  <m:sty m:val="p"/>
                </m:rPr>
                <m:t>+</m:t>
              </m:r>
              <m:r>
                <m:t>1.57</m:t>
              </m:r>
            </m:oMath>
            <w:r>
              <w:t xml:space="preserve">​</w:t>
            </w:r>
          </w:p>
        </w:tc>
        <w:tc>
          <w:tcPr>
            <w:vAlign w:val="center"/>
          </w:tcPr>
          <w:p>
            <w:pPr>
              <w:pStyle w:val="MDPI42tablebody"/>
              <w:jc w:val="center"/>
            </w:pPr>
            <m:oMath>
              <m:r>
                <m:rPr>
                  <m:sty m:val="p"/>
                </m:rPr>
                <m:t>+</m:t>
              </m:r>
              <m:r>
                <m:t>2.83</m:t>
              </m:r>
            </m:oMath>
            <w:r>
              <w:t xml:space="preserve">​</w:t>
            </w:r>
          </w:p>
        </w:tc>
        <w:tc>
          <w:tcPr>
            <w:vAlign w:val="center"/>
          </w:tcPr>
          <w:p>
            <w:pPr>
              <w:pStyle w:val="MDPI42tablebody"/>
              <w:jc w:val="center"/>
            </w:pPr>
            <w:r>
              <w:t xml:space="preserve">68/80</w:t>
            </w:r>
          </w:p>
        </w:tc>
        <w:tc>
          <w:tcPr>
            <w:vAlign w:val="center"/>
          </w:tcPr>
          <w:p>
            <w:pPr>
              <w:pStyle w:val="MDPI42tablebody"/>
              <w:jc w:val="center"/>
            </w:pPr>
            <m:oMath>
              <m:r>
                <m:t>6.5</m:t>
              </m:r>
              <m:r>
                <m:rPr>
                  <m:sty m:val="p"/>
                </m:rPr>
                <m:t>×</m:t>
              </m:r>
              <m:sSup>
                <m:e>
                  <m:r>
                    <m:t>10</m:t>
                  </m:r>
                </m:e>
                <m:sup>
                  <m:r>
                    <m:rPr>
                      <m:sty m:val="p"/>
                    </m:rPr>
                    <m:t>−</m:t>
                  </m:r>
                  <m:r>
                    <m:t>7</m:t>
                  </m:r>
                </m:sup>
              </m:sSup>
            </m:oMath>
            <w:r>
              <w:t xml:space="preserve">​</w:t>
            </w:r>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m:oMath>
              <m:r>
                <m:rPr>
                  <m:sty m:val="p"/>
                </m:rPr>
                <m:t>+</m:t>
              </m:r>
              <m:r>
                <m:t>0.83</m:t>
              </m:r>
            </m:oMath>
            <w:r>
              <w:t xml:space="preserve">​</w:t>
            </w:r>
          </w:p>
        </w:tc>
        <w:tc>
          <w:tcPr>
            <w:vAlign w:val="center"/>
          </w:tcPr>
          <w:p>
            <w:pPr>
              <w:pStyle w:val="MDPI42tablebody"/>
              <w:jc w:val="center"/>
            </w:pPr>
            <m:oMath>
              <m:r>
                <m:rPr>
                  <m:sty m:val="p"/>
                </m:rPr>
                <m:t>+</m:t>
              </m:r>
              <m:r>
                <m:t>0.74</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0.82</m:t>
              </m:r>
            </m:oMath>
            <w:r>
              <w:t xml:space="preserve">​</w:t>
            </w:r>
          </w:p>
        </w:tc>
        <w:tc>
          <w:tcPr>
            <w:vAlign w:val="center"/>
          </w:tcPr>
          <w:p>
            <w:pPr>
              <w:pStyle w:val="MDPI42tablebody"/>
              <w:jc w:val="center"/>
            </w:pPr>
            <m:oMath>
              <m:r>
                <m:rPr>
                  <m:sty m:val="p"/>
                </m:rPr>
                <m:t>+</m:t>
              </m:r>
              <m:r>
                <m:t>0.69</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m:oMath>
              <m:r>
                <m:rPr>
                  <m:sty m:val="p"/>
                </m:rPr>
                <m:t>+</m:t>
              </m:r>
              <m:r>
                <m:t>0.49</m:t>
              </m:r>
            </m:oMath>
            <w:r>
              <w:t xml:space="preserve">​</w:t>
            </w:r>
          </w:p>
        </w:tc>
        <w:tc>
          <w:tcPr>
            <w:vAlign w:val="center"/>
          </w:tcPr>
          <w:p>
            <w:pPr>
              <w:pStyle w:val="MDPI42tablebody"/>
              <w:jc w:val="center"/>
            </w:pPr>
            <m:oMath>
              <m:r>
                <m:rPr>
                  <m:sty m:val="p"/>
                </m:rPr>
                <m:t>+</m:t>
              </m:r>
              <m:r>
                <m:t>0.25</m:t>
              </m:r>
            </m:oMath>
            <w:r>
              <w:t xml:space="preserve">​</w:t>
            </w:r>
          </w:p>
        </w:tc>
        <w:tc>
          <w:tcPr>
            <w:vAlign w:val="center"/>
          </w:tcPr>
          <w:p>
            <w:pPr>
              <w:pStyle w:val="MDPI42tablebody"/>
              <w:jc w:val="center"/>
            </w:pPr>
            <w:r>
              <w:t xml:space="preserve">41/80</w:t>
            </w:r>
          </w:p>
        </w:tc>
        <w:tc>
          <w:tcPr>
            <w:vAlign w:val="center"/>
          </w:tcPr>
          <w:p>
            <w:pPr>
              <w:pStyle w:val="MDPI42tablebody"/>
              <w:jc w:val="center"/>
            </w:pPr>
            <m:oMath>
              <m:r>
                <m:t>0.176</m:t>
              </m:r>
            </m:oMath>
            <w:r>
              <w:t xml:space="preserve"> </w:t>
            </w:r>
            <w:r>
              <w:t xml:space="preserve">(n.s.)</w:t>
            </w:r>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m:oMath>
              <m:r>
                <m:rPr>
                  <m:sty m:val="p"/>
                </m:rPr>
                <m:t>+</m:t>
              </m:r>
              <m:r>
                <m:t>0.21</m:t>
              </m:r>
            </m:oMath>
            <w:r>
              <w:t xml:space="preserve">​</w:t>
            </w:r>
          </w:p>
        </w:tc>
        <w:tc>
          <w:tcPr>
            <w:vAlign w:val="center"/>
          </w:tcPr>
          <w:p>
            <w:pPr>
              <w:pStyle w:val="MDPI42tablebody"/>
              <w:jc w:val="center"/>
            </w:pPr>
            <m:oMath>
              <m:r>
                <m:rPr>
                  <m:sty m:val="p"/>
                </m:rPr>
                <m:t>+</m:t>
              </m:r>
              <m:r>
                <m:t>0.29</m:t>
              </m:r>
            </m:oMath>
            <w:r>
              <w:t xml:space="preserve">​</w:t>
            </w:r>
          </w:p>
        </w:tc>
        <w:tc>
          <w:tcPr>
            <w:vAlign w:val="center"/>
          </w:tcPr>
          <w:p>
            <w:pPr>
              <w:pStyle w:val="MDPI42tablebody"/>
              <w:jc w:val="center"/>
            </w:pPr>
            <w:r>
              <w:t xml:space="preserve">44/80</w:t>
            </w:r>
          </w:p>
        </w:tc>
        <w:tc>
          <w:tcPr>
            <w:vAlign w:val="center"/>
          </w:tcPr>
          <w:p>
            <w:pPr>
              <w:pStyle w:val="MDPI42tablebody"/>
              <w:jc w:val="center"/>
            </w:pPr>
            <m:oMath>
              <m:r>
                <m:t>0.334</m:t>
              </m:r>
            </m:oMath>
            <w:r>
              <w:t xml:space="preserve"> </w:t>
            </w:r>
            <w:r>
              <w:t xml:space="preserve">(n.s.)</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m:oMath>
              <m:r>
                <m:rPr>
                  <m:sty m:val="p"/>
                </m:rPr>
                <m:t>−</m:t>
              </m:r>
              <m:r>
                <m:t>0.60</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w:r>
              <w:t xml:space="preserve">31/80</w:t>
            </w:r>
          </w:p>
        </w:tc>
        <w:tc>
          <w:tcPr>
            <w:vAlign w:val="center"/>
          </w:tcPr>
          <w:p>
            <w:pPr>
              <w:pStyle w:val="MDPI42tablebody"/>
              <w:jc w:val="center"/>
            </w:pPr>
            <m:oMath>
              <m:r>
                <m:t>0.334</m:t>
              </m:r>
            </m:oMath>
            <w:r>
              <w:t xml:space="preserve"> </w:t>
            </w:r>
            <w:r>
              <w:t xml:space="preserve">(n.s.)</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m:oMath>
              <m:r>
                <m:rPr>
                  <m:sty m:val="p"/>
                </m:rPr>
                <m:t>−</m:t>
              </m:r>
              <m:r>
                <m:t>0.89</m:t>
              </m:r>
            </m:oMath>
            <w:r>
              <w:t xml:space="preserve">​</w:t>
            </w:r>
          </w:p>
        </w:tc>
        <w:tc>
          <w:tcPr>
            <w:vAlign w:val="center"/>
          </w:tcPr>
          <w:p>
            <w:pPr>
              <w:pStyle w:val="MDPI42tablebody"/>
              <w:jc w:val="center"/>
            </w:pPr>
            <m:oMath>
              <m:r>
                <m:rPr>
                  <m:sty m:val="p"/>
                </m:rPr>
                <m:t>−</m:t>
              </m:r>
              <m:r>
                <m:t>0.79</m:t>
              </m:r>
            </m:oMath>
            <w:r>
              <w:t xml:space="preserve">​</w:t>
            </w:r>
          </w:p>
        </w:tc>
        <w:tc>
          <w:tcPr>
            <w:vAlign w:val="center"/>
          </w:tcPr>
          <w:p>
            <w:pPr>
              <w:pStyle w:val="MDPI42tablebody"/>
              <w:jc w:val="center"/>
            </w:pPr>
            <w:r>
              <w:t xml:space="preserve">23/80</w:t>
            </w:r>
          </w:p>
        </w:tc>
        <w:tc>
          <w:tcPr>
            <w:vAlign w:val="center"/>
          </w:tcPr>
          <w:p>
            <w:pPr>
              <w:pStyle w:val="MDPI42tablebody"/>
              <w:jc w:val="center"/>
            </w:pPr>
            <m:oMath>
              <m:r>
                <m:t>1.2</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ppo</w:t>
            </w:r>
          </w:p>
        </w:tc>
        <w:tc>
          <w:tcPr>
            <w:vAlign w:val="center"/>
          </w:tcPr>
          <w:p>
            <w:pPr>
              <w:pStyle w:val="MDPI42tablebody"/>
              <w:jc w:val="center"/>
            </w:pPr>
            <m:oMath>
              <m:r>
                <m:rPr>
                  <m:sty m:val="p"/>
                </m:rPr>
                <m:t>−</m:t>
              </m:r>
              <m:r>
                <m:t>1.81</m:t>
              </m:r>
            </m:oMath>
            <w:r>
              <w:t xml:space="preserve">​</w:t>
            </w:r>
          </w:p>
        </w:tc>
        <w:tc>
          <w:tcPr>
            <w:vAlign w:val="center"/>
          </w:tcPr>
          <w:p>
            <w:pPr>
              <w:pStyle w:val="MDPI42tablebody"/>
              <w:jc w:val="center"/>
            </w:pPr>
            <m:oMath>
              <m:r>
                <m:rPr>
                  <m:sty m:val="p"/>
                </m:rPr>
                <m:t>−</m:t>
              </m:r>
              <m:r>
                <m:t>1.78</m:t>
              </m:r>
            </m:oMath>
            <w:r>
              <w:t xml:space="preserve">​</w:t>
            </w:r>
          </w:p>
        </w:tc>
        <w:tc>
          <w:tcPr>
            <w:vAlign w:val="center"/>
          </w:tcPr>
          <w:p>
            <w:pPr>
              <w:pStyle w:val="MDPI42tablebody"/>
              <w:jc w:val="center"/>
            </w:pPr>
            <w:r>
              <w:t xml:space="preserve">11/80</w:t>
            </w:r>
          </w:p>
        </w:tc>
        <w:tc>
          <w:tcPr>
            <w:vAlign w:val="center"/>
          </w:tcPr>
          <w:p>
            <w:pPr>
              <w:pStyle w:val="MDPI42tablebody"/>
              <w:jc w:val="center"/>
            </w:pPr>
            <m:oMath>
              <m:r>
                <m:t>2.3</m:t>
              </m:r>
              <m:r>
                <m:rPr>
                  <m:sty m:val="p"/>
                </m:rPr>
                <m:t>×</m:t>
              </m:r>
              <m:sSup>
                <m:e>
                  <m:r>
                    <m:t>10</m:t>
                  </m:r>
                </m:e>
                <m:sup>
                  <m:r>
                    <m:rPr>
                      <m:sty m:val="p"/>
                    </m:rPr>
                    <m:t>−</m:t>
                  </m:r>
                  <m:r>
                    <m:t>10</m:t>
                  </m:r>
                </m:sup>
              </m:sSup>
            </m:oMath>
            <w:r>
              <w:t xml:space="preserve">​</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1.98</m:t>
              </m:r>
            </m:oMath>
            <w:r>
              <w:t xml:space="preserve">​</w:t>
            </w:r>
          </w:p>
        </w:tc>
        <w:tc>
          <w:tcPr>
            <w:vAlign w:val="center"/>
          </w:tcPr>
          <w:p>
            <w:pPr>
              <w:pStyle w:val="MDPI42tablebody"/>
              <w:jc w:val="center"/>
            </w:pPr>
            <m:oMath>
              <m:r>
                <m:rPr>
                  <m:sty m:val="p"/>
                </m:rPr>
                <m:t>−</m:t>
              </m:r>
              <m:r>
                <m:t>1.91</m:t>
              </m:r>
            </m:oMath>
            <w:r>
              <w:t xml:space="preserve">​</w:t>
            </w:r>
          </w:p>
        </w:tc>
        <w:tc>
          <w:tcPr>
            <w:vAlign w:val="center"/>
          </w:tcPr>
          <w:p>
            <w:pPr>
              <w:pStyle w:val="MDPI42tablebody"/>
              <w:jc w:val="center"/>
            </w:pPr>
            <w:r>
              <w:t xml:space="preserve">29/80</w:t>
            </w:r>
          </w:p>
        </w:tc>
        <w:tc>
          <w:tcPr>
            <w:vAlign w:val="center"/>
          </w:tcPr>
          <w:p>
            <w:pPr>
              <w:pStyle w:val="MDPI42tablebody"/>
              <w:jc w:val="center"/>
            </w:pPr>
            <m:oMath>
              <m:r>
                <m:t>6.8</m:t>
              </m:r>
              <m:r>
                <m:rPr>
                  <m:sty m:val="p"/>
                </m:rPr>
                <m:t>×</m:t>
              </m:r>
              <m:sSup>
                <m:e>
                  <m:r>
                    <m:t>10</m:t>
                  </m:r>
                </m:e>
                <m:sup>
                  <m:r>
                    <m:rPr>
                      <m:sty m:val="p"/>
                    </m:rPr>
                    <m:t>−</m:t>
                  </m:r>
                  <m:r>
                    <m:t>5</m:t>
                  </m:r>
                </m:sup>
              </m:sSup>
            </m:oMath>
            <w:r>
              <w:t xml:space="preserve">​</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3.47</m:t>
              </m:r>
            </m:oMath>
            <w:r>
              <w:t xml:space="preserve">​</w:t>
            </w:r>
          </w:p>
        </w:tc>
        <w:tc>
          <w:tcPr>
            <w:vAlign w:val="center"/>
          </w:tcPr>
          <w:p>
            <w:pPr>
              <w:pStyle w:val="MDPI42tablebody"/>
              <w:jc w:val="center"/>
            </w:pPr>
            <m:oMath>
              <m:r>
                <m:rPr>
                  <m:sty m:val="p"/>
                </m:rPr>
                <m:t>−</m:t>
              </m:r>
              <m:r>
                <m:t>3.32</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7.3</m:t>
              </m:r>
              <m:r>
                <m:rPr>
                  <m:sty m:val="p"/>
                </m:rPr>
                <m:t>×</m:t>
              </m:r>
              <m:sSup>
                <m:e>
                  <m:r>
                    <m:t>10</m:t>
                  </m:r>
                </m:e>
                <m:sup>
                  <m:r>
                    <m:rPr>
                      <m:sty m:val="p"/>
                    </m:rPr>
                    <m:t>−</m:t>
                  </m:r>
                  <m:r>
                    <m:t>14</m:t>
                  </m:r>
                </m:sup>
              </m:sSup>
            </m:oMath>
            <w:r>
              <w:t xml:space="preserve">​</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m:oMath>
              <m:r>
                <m:rPr>
                  <m:sty m:val="p"/>
                </m:rPr>
                <m:t>−</m:t>
              </m:r>
              <m:r>
                <m:t>4.73</m:t>
              </m:r>
            </m:oMath>
            <w:r>
              <w:t xml:space="preserve">​</w:t>
            </w:r>
          </w:p>
        </w:tc>
        <w:tc>
          <w:tcPr>
            <w:vAlign w:val="center"/>
          </w:tcPr>
          <w:p>
            <w:pPr>
              <w:pStyle w:val="MDPI42tablebody"/>
              <w:jc w:val="center"/>
            </w:pPr>
            <m:oMath>
              <m:r>
                <m:rPr>
                  <m:sty m:val="p"/>
                </m:rPr>
                <m:t>−</m:t>
              </m:r>
              <m:r>
                <m:t>4.79</m:t>
              </m:r>
            </m:oMath>
            <w:r>
              <w:t xml:space="preserve">​</w:t>
            </w:r>
          </w:p>
        </w:tc>
        <w:tc>
          <w:tcPr>
            <w:vAlign w:val="center"/>
          </w:tcPr>
          <w:p>
            <w:pPr>
              <w:pStyle w:val="MDPI42tablebody"/>
              <w:jc w:val="center"/>
            </w:pPr>
            <w:r>
              <w:t xml:space="preserve">0/60</w:t>
            </w:r>
          </w:p>
        </w:tc>
        <w:tc>
          <w:tcPr>
            <w:vAlign w:val="center"/>
          </w:tcPr>
          <w:p>
            <w:pPr>
              <w:pStyle w:val="MDPI42tablebody"/>
              <w:jc w:val="center"/>
            </w:pPr>
            <m:oMath>
              <m:r>
                <m:t>1.8</m:t>
              </m:r>
              <m:r>
                <m:rPr>
                  <m:sty m:val="p"/>
                </m:rPr>
                <m:t>×</m:t>
              </m:r>
              <m:sSup>
                <m:e>
                  <m:r>
                    <m:t>10</m:t>
                  </m:r>
                </m:e>
                <m:sup>
                  <m:r>
                    <m:rPr>
                      <m:sty m:val="p"/>
                    </m:rPr>
                    <m:t>−</m:t>
                  </m:r>
                  <m:r>
                    <m:t>10</m:t>
                  </m:r>
                </m:sup>
              </m:sSup>
            </m:oMath>
            <w:r>
              <w:t xml:space="preserve">​</w:t>
            </w:r>
          </w:p>
        </w:tc>
      </w:tr>
      <w:tr>
        <w:tc>
          <w:tcPr>
            <w:vAlign w:val="center"/>
          </w:tcPr>
          <w:p>
            <w:pPr>
              <w:pStyle w:val="MDPI42tablebody"/>
              <w:jc w:val="center"/>
            </w:pPr>
            <w:r>
              <w:rPr>
                <w:rStyle w:val="VerbatimChar"/>
              </w:rPr>
              <w:t xml:space="preserve">nn_mpc</w:t>
            </w:r>
          </w:p>
        </w:tc>
        <w:tc>
          <w:tcPr>
            <w:vAlign w:val="center"/>
          </w:tcPr>
          <w:p>
            <w:pPr>
              <w:pStyle w:val="MDPI42tablebody"/>
              <w:jc w:val="center"/>
            </w:pPr>
            <m:oMath>
              <m:r>
                <m:rPr>
                  <m:sty m:val="p"/>
                </m:rPr>
                <m:t>−</m:t>
              </m:r>
              <m:r>
                <m:t>6.08</m:t>
              </m:r>
            </m:oMath>
            <w:r>
              <w:t xml:space="preserve">​</w:t>
            </w:r>
          </w:p>
        </w:tc>
        <w:tc>
          <w:tcPr>
            <w:vAlign w:val="center"/>
          </w:tcPr>
          <w:p>
            <w:pPr>
              <w:pStyle w:val="MDPI42tablebody"/>
              <w:jc w:val="center"/>
            </w:pPr>
            <m:oMath>
              <m:r>
                <m:rPr>
                  <m:sty m:val="p"/>
                </m:rPr>
                <m:t>−</m:t>
              </m:r>
              <m:r>
                <m:t>5.52</m:t>
              </m:r>
            </m:oMath>
            <w:r>
              <w:t xml:space="preserve">​</w:t>
            </w:r>
          </w:p>
        </w:tc>
        <w:tc>
          <w:tcPr>
            <w:vAlign w:val="center"/>
          </w:tcPr>
          <w:p>
            <w:pPr>
              <w:pStyle w:val="MDPI42tablebody"/>
              <w:jc w:val="center"/>
            </w:pPr>
            <w:r>
              <w:t xml:space="preserve">0/40</w:t>
            </w:r>
          </w:p>
        </w:tc>
        <w:tc>
          <w:tcPr>
            <w:vAlign w:val="center"/>
          </w:tcPr>
          <w:p>
            <w:pPr>
              <w:pStyle w:val="MDPI42tablebody"/>
              <w:jc w:val="center"/>
            </w:pPr>
            <m:oMath>
              <m:r>
                <m:t>2.4</m:t>
              </m:r>
              <m:r>
                <m:rPr>
                  <m:sty m:val="p"/>
                </m:rPr>
                <m:t>×</m:t>
              </m:r>
              <m:sSup>
                <m:e>
                  <m:r>
                    <m:t>10</m:t>
                  </m:r>
                </m:e>
                <m:sup>
                  <m:r>
                    <m:rPr>
                      <m:sty m:val="p"/>
                    </m:rPr>
                    <m:t>−</m:t>
                  </m:r>
                  <m:r>
                    <m:t>11</m:t>
                  </m:r>
                </m:sup>
              </m:sSup>
            </m:oMath>
            <w:r>
              <w:t xml:space="preserve">​</w:t>
            </w:r>
          </w:p>
        </w:tc>
      </w:tr>
      <w:tr>
        <w:tc>
          <w:tcPr>
            <w:vAlign w:val="center"/>
          </w:tcPr>
          <w:p>
            <w:pPr>
              <w:pStyle w:val="MDPI42tablebody"/>
              <w:jc w:val="center"/>
            </w:pPr>
            <w:r>
              <w:rPr>
                <w:rStyle w:val="VerbatimChar"/>
              </w:rPr>
              <w:t xml:space="preserve">sac</w:t>
            </w:r>
          </w:p>
        </w:tc>
        <w:tc>
          <w:tcPr>
            <w:vAlign w:val="center"/>
          </w:tcPr>
          <w:p>
            <w:pPr>
              <w:pStyle w:val="MDPI42tablebody"/>
              <w:jc w:val="center"/>
            </w:pPr>
            <m:oMath>
              <m:r>
                <m:rPr>
                  <m:sty m:val="p"/>
                </m:rPr>
                <m:t>−</m:t>
              </m:r>
              <m:r>
                <m:t>6.41</m:t>
              </m:r>
            </m:oMath>
            <w:r>
              <w:t xml:space="preserve">​</w:t>
            </w:r>
          </w:p>
        </w:tc>
        <w:tc>
          <w:tcPr>
            <w:vAlign w:val="center"/>
          </w:tcPr>
          <w:p>
            <w:pPr>
              <w:pStyle w:val="MDPI42tablebody"/>
              <w:jc w:val="center"/>
            </w:pPr>
            <m:oMath>
              <m:r>
                <m:rPr>
                  <m:sty m:val="p"/>
                </m:rPr>
                <m:t>−</m:t>
              </m:r>
              <m:r>
                <m:t>6.68</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1.1</m:t>
              </m:r>
              <m:r>
                <m:rPr>
                  <m:sty m:val="p"/>
                </m:rPr>
                <m:t>×</m:t>
              </m:r>
              <m:sSup>
                <m:e>
                  <m:r>
                    <m:t>10</m:t>
                  </m:r>
                </m:e>
                <m:sup>
                  <m:r>
                    <m:rPr>
                      <m:sty m:val="p"/>
                    </m:rPr>
                    <m:t>−</m:t>
                  </m:r>
                  <m:r>
                    <m:t>13</m:t>
                  </m:r>
                </m:sup>
              </m:sSup>
            </m:oMath>
            <w:r>
              <w:t xml:space="preserve">​</w:t>
            </w:r>
          </w:p>
        </w:tc>
      </w:tr>
    </w:tbl>
    <w:bookmarkEnd w:id="48"/>
    <w:bookmarkStart w:id="52" w:name="fig:pareto"/>
    <w:p>
      <w:pPr>
        <w:pStyle w:val="MDPI52figure"/>
      </w:pPr>
      <w:r>
        <w:drawing>
          <wp:inline>
            <wp:extent cx="6124495" cy="378430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8430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 5 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 below 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 hard-coded 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 original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jc w:val="center"/>
            </w:pPr>
            <w:r>
              <w:t xml:space="preserve">Controller</w:t>
            </w:r>
          </w:p>
        </w:tc>
        <w:tc>
          <w:tcPr>
            <w:vAlign w:val="center"/>
          </w:tcPr>
          <w:p>
            <w:pPr>
              <w:pStyle w:val="MDPI42tablebody"/>
              <w:jc w:val="center"/>
            </w:pPr>
            <w:r>
              <w:t xml:space="preserve">2014</w:t>
            </w:r>
          </w:p>
        </w:tc>
        <w:tc>
          <w:tcPr>
            <w:vAlign w:val="center"/>
          </w:tcPr>
          <w:p>
            <w:pPr>
              <w:pStyle w:val="MDPI42tablebody"/>
              <w:jc w:val="center"/>
            </w:pPr>
            <w:r>
              <w:t xml:space="preserve">2015</w:t>
            </w:r>
          </w:p>
        </w:tc>
        <w:tc>
          <w:tcPr>
            <w:vAlign w:val="center"/>
          </w:tcPr>
          <w:p>
            <w:pPr>
              <w:pStyle w:val="MDPI42tablebody"/>
              <w:jc w:val="center"/>
            </w:pPr>
            <w:r>
              <w:t xml:space="preserve">2016</w:t>
            </w:r>
          </w:p>
        </w:tc>
        <w:tc>
          <w:tcPr>
            <w:vAlign w:val="center"/>
          </w:tcPr>
          <w:p>
            <w:pPr>
              <w:pStyle w:val="MDPI42tablebody"/>
              <w:jc w:val="center"/>
            </w:pPr>
            <w:r>
              <w:t xml:space="preserve">2017</w:t>
            </w:r>
          </w:p>
        </w:tc>
        <w:tc>
          <w:tcPr>
            <w:vAlign w:val="center"/>
          </w:tcPr>
          <w:p>
            <w:pPr>
              <w:pStyle w:val="MDPI42tablebody"/>
              <w:jc w:val="center"/>
            </w:pPr>
            <w:r>
              <w:t xml:space="preserve">Mean</w:t>
            </w:r>
          </w:p>
        </w:tc>
        <w:tc>
          <w:tcPr>
            <w:vAlign w:val="center"/>
          </w:tcPr>
          <w:p>
            <w:pPr>
              <w:pStyle w:val="MDPI42tablebody"/>
              <w:jc w:val="center"/>
            </w:pPr>
            <w:r>
              <w:t xml:space="preserve">SD (</w:t>
            </w:r>
            <m:oMath>
              <m:r>
                <m:t>n</m:t>
              </m:r>
              <m:r>
                <m:rPr>
                  <m:sty m:val="p"/>
                </m:rPr>
                <m:t>=</m:t>
              </m:r>
              <m:r>
                <m:t>32</m:t>
              </m:r>
            </m:oMath>
            <w:r>
              <w:t xml:space="preserve">)</w:t>
            </w:r>
          </w:p>
        </w:tc>
        <w:tc>
          <w:tcPr>
            <w:vAlign w:val="center"/>
          </w:tcPr>
          <w:p>
            <w:pPr>
              <w:pStyle w:val="MDPI42tablebody"/>
              <w:jc w:val="center"/>
            </w:pPr>
            <w:r>
              <w:t xml:space="preserve">Viol.</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7.08</m:t>
              </m:r>
            </m:oMath>
            <w:r>
              <w:t xml:space="preserve">​</w:t>
            </w:r>
          </w:p>
        </w:tc>
        <w:tc>
          <w:tcPr>
            <w:vAlign w:val="center"/>
          </w:tcPr>
          <w:p>
            <w:pPr>
              <w:pStyle w:val="MDPI42tablebody"/>
              <w:jc w:val="center"/>
            </w:pPr>
            <m:oMath>
              <m:r>
                <m:rPr>
                  <m:sty m:val="p"/>
                </m:rPr>
                <m:t>+</m:t>
              </m:r>
              <m:r>
                <m:t>6.25</m:t>
              </m:r>
            </m:oMath>
            <w:r>
              <w:t xml:space="preserve">​</w:t>
            </w:r>
          </w:p>
        </w:tc>
        <w:tc>
          <w:tcPr>
            <w:vAlign w:val="center"/>
          </w:tcPr>
          <w:p>
            <w:pPr>
              <w:pStyle w:val="MDPI42tablebody"/>
              <w:jc w:val="center"/>
            </w:pPr>
            <m:oMath>
              <m:r>
                <m:rPr>
                  <m:sty m:val="p"/>
                </m:rPr>
                <m:t>+</m:t>
              </m:r>
              <m:r>
                <m:t>5.98</m:t>
              </m:r>
            </m:oMath>
            <w:r>
              <w:t xml:space="preserve">​</w:t>
            </w:r>
          </w:p>
        </w:tc>
        <w:tc>
          <w:tcPr>
            <w:vAlign w:val="center"/>
          </w:tcPr>
          <w:p>
            <w:pPr>
              <w:pStyle w:val="MDPI42tablebody"/>
              <w:jc w:val="center"/>
            </w:pPr>
            <m:oMath>
              <m:r>
                <m:rPr>
                  <m:sty m:val="p"/>
                </m:rPr>
                <m:t>+</m:t>
              </m:r>
              <m:r>
                <m:t>6.38</m:t>
              </m:r>
            </m:oMath>
            <w:r>
              <w:t xml:space="preserve">​</w:t>
            </w:r>
          </w:p>
        </w:tc>
        <w:tc>
          <w:tcPr>
            <w:vAlign w:val="center"/>
          </w:tcPr>
          <w:p>
            <w:pPr>
              <w:pStyle w:val="MDPI42tablebody"/>
              <w:jc w:val="center"/>
            </w:pPr>
            <m:oMath>
              <m:r>
                <m:rPr>
                  <m:sty m:val="b"/>
                </m:rPr>
                <m:t>+</m:t>
              </m:r>
              <m:r>
                <m:rPr>
                  <m:sty m:val="b"/>
                </m:rPr>
                <m:t>6.42</m:t>
              </m:r>
            </m:oMath>
            <w:r>
              <w:t xml:space="preserve">​</w:t>
            </w:r>
          </w:p>
        </w:tc>
        <w:tc>
          <w:tcPr>
            <w:vAlign w:val="center"/>
          </w:tcPr>
          <w:p>
            <w:pPr>
              <w:pStyle w:val="MDPI42tablebody"/>
              <w:jc w:val="center"/>
            </w:pPr>
            <w:r>
              <w:t xml:space="preserve">0.95</w:t>
            </w:r>
          </w:p>
        </w:tc>
        <w:tc>
          <w:tcPr>
            <w:vAlign w:val="center"/>
          </w:tcPr>
          <w:p>
            <w:pPr>
              <w:pStyle w:val="MDPI42tablebody"/>
              <w:jc w:val="center"/>
            </w:pPr>
            <w:r>
              <w:t xml:space="preserve">4385</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3.06</m:t>
              </m:r>
            </m:oMath>
            <w:r>
              <w:t xml:space="preserve">​</w:t>
            </w:r>
          </w:p>
        </w:tc>
        <w:tc>
          <w:tcPr>
            <w:vAlign w:val="center"/>
          </w:tcPr>
          <w:p>
            <w:pPr>
              <w:pStyle w:val="MDPI42tablebody"/>
              <w:jc w:val="center"/>
            </w:pPr>
            <m:oMath>
              <m:r>
                <m:rPr>
                  <m:sty m:val="p"/>
                </m:rPr>
                <m:t>+</m:t>
              </m:r>
              <m:r>
                <m:t>1.70</m:t>
              </m:r>
            </m:oMath>
            <w:r>
              <w:t xml:space="preserve">​</w:t>
            </w:r>
          </w:p>
        </w:tc>
        <w:tc>
          <w:tcPr>
            <w:vAlign w:val="center"/>
          </w:tcPr>
          <w:p>
            <w:pPr>
              <w:pStyle w:val="MDPI42tablebody"/>
              <w:jc w:val="center"/>
            </w:pPr>
            <m:oMath>
              <m:r>
                <m:rPr>
                  <m:sty m:val="p"/>
                </m:rPr>
                <m:t>+</m:t>
              </m:r>
              <m:r>
                <m:t>2.18</m:t>
              </m:r>
            </m:oMath>
            <w:r>
              <w:t xml:space="preserve">​</w:t>
            </w:r>
          </w:p>
        </w:tc>
        <w:tc>
          <w:tcPr>
            <w:vAlign w:val="center"/>
          </w:tcPr>
          <w:p>
            <w:pPr>
              <w:pStyle w:val="MDPI42tablebody"/>
              <w:jc w:val="center"/>
            </w:pPr>
            <m:oMath>
              <m:r>
                <m:rPr>
                  <m:sty m:val="p"/>
                </m:rPr>
                <m:t>+</m:t>
              </m:r>
              <m:r>
                <m:t>2.57</m:t>
              </m:r>
            </m:oMath>
            <w:r>
              <w:t xml:space="preserve">​</w:t>
            </w:r>
          </w:p>
        </w:tc>
        <w:tc>
          <w:tcPr>
            <w:vAlign w:val="center"/>
          </w:tcPr>
          <w:p>
            <w:pPr>
              <w:pStyle w:val="MDPI42tablebody"/>
              <w:jc w:val="center"/>
            </w:pPr>
            <m:oMath>
              <m:r>
                <m:rPr>
                  <m:sty m:val="p"/>
                </m:rPr>
                <m:t>+</m:t>
              </m:r>
              <m:r>
                <m:t>2.38</m:t>
              </m:r>
            </m:oMath>
            <w:r>
              <w:t xml:space="preserve">​</w:t>
            </w:r>
          </w:p>
        </w:tc>
        <w:tc>
          <w:tcPr>
            <w:vAlign w:val="center"/>
          </w:tcPr>
          <w:p>
            <w:pPr>
              <w:pStyle w:val="MDPI42tablebody"/>
              <w:jc w:val="center"/>
            </w:pPr>
            <w:r>
              <w:t xml:space="preserve">4.03</w:t>
            </w:r>
          </w:p>
        </w:tc>
        <w:tc>
          <w:tcPr>
            <w:vAlign w:val="center"/>
          </w:tcPr>
          <w:p>
            <w:pPr>
              <w:pStyle w:val="MDPI42tablebody"/>
              <w:jc w:val="center"/>
            </w:pPr>
            <w:r>
              <w:t xml:space="preserve">5458</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1.63</m:t>
              </m:r>
            </m:oMath>
            <w:r>
              <w:t xml:space="preserve">​</w:t>
            </w:r>
          </w:p>
        </w:tc>
        <w:tc>
          <w:tcPr>
            <w:vAlign w:val="center"/>
          </w:tcPr>
          <w:p>
            <w:pPr>
              <w:pStyle w:val="MDPI42tablebody"/>
              <w:jc w:val="center"/>
            </w:pPr>
            <m:oMath>
              <m:r>
                <m:rPr>
                  <m:sty m:val="p"/>
                </m:rPr>
                <m:t>+</m:t>
              </m:r>
              <m:r>
                <m:t>0.54</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m:oMath>
              <m:r>
                <m:rPr>
                  <m:sty m:val="p"/>
                </m:rPr>
                <m:t>+</m:t>
              </m:r>
              <m:r>
                <m:t>1.27</m:t>
              </m:r>
            </m:oMath>
            <w:r>
              <w:t xml:space="preserve">​</w:t>
            </w:r>
          </w:p>
        </w:tc>
        <w:tc>
          <w:tcPr>
            <w:vAlign w:val="center"/>
          </w:tcPr>
          <w:p>
            <w:pPr>
              <w:pStyle w:val="MDPI42tablebody"/>
              <w:jc w:val="center"/>
            </w:pPr>
            <m:oMath>
              <m:r>
                <m:rPr>
                  <m:sty m:val="p"/>
                </m:rPr>
                <m:t>+</m:t>
              </m:r>
              <m:r>
                <m:t>1.07</m:t>
              </m:r>
            </m:oMath>
            <w:r>
              <w:t xml:space="preserve">​</w:t>
            </w:r>
          </w:p>
        </w:tc>
        <w:tc>
          <w:tcPr>
            <w:vAlign w:val="center"/>
          </w:tcPr>
          <w:p>
            <w:pPr>
              <w:pStyle w:val="MDPI42tablebody"/>
              <w:jc w:val="center"/>
            </w:pPr>
            <w:r>
              <w:t xml:space="preserve">1.74</w:t>
            </w:r>
          </w:p>
        </w:tc>
        <w:tc>
          <w:tcPr>
            <w:vAlign w:val="center"/>
          </w:tcPr>
          <w:p>
            <w:pPr>
              <w:pStyle w:val="MDPI42tablebody"/>
              <w:jc w:val="center"/>
            </w:pPr>
            <w:r>
              <w:t xml:space="preserve">6226</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0.99</m:t>
              </m:r>
            </m:oMath>
            <w:r>
              <w:t xml:space="preserve">​</w:t>
            </w:r>
          </w:p>
        </w:tc>
        <w:tc>
          <w:tcPr>
            <w:vAlign w:val="center"/>
          </w:tcPr>
          <w:p>
            <w:pPr>
              <w:pStyle w:val="MDPI42tablebody"/>
              <w:jc w:val="center"/>
            </w:pPr>
            <m:oMath>
              <m:r>
                <m:rPr>
                  <m:sty m:val="p"/>
                </m:rPr>
                <m:t>−</m:t>
              </m:r>
              <m:r>
                <m:t>1.13</m:t>
              </m:r>
            </m:oMath>
            <w:r>
              <w:t xml:space="preserve">​</w:t>
            </w:r>
          </w:p>
        </w:tc>
        <w:tc>
          <w:tcPr>
            <w:vAlign w:val="center"/>
          </w:tcPr>
          <w:p>
            <w:pPr>
              <w:pStyle w:val="MDPI42tablebody"/>
              <w:jc w:val="center"/>
            </w:pPr>
            <m:oMath>
              <m:r>
                <m:rPr>
                  <m:sty m:val="p"/>
                </m:rPr>
                <m:t>−</m:t>
              </m:r>
              <m:r>
                <m:t>2.22</m:t>
              </m:r>
            </m:oMath>
            <w:r>
              <w:t xml:space="preserve">​</w:t>
            </w:r>
          </w:p>
        </w:tc>
        <w:tc>
          <w:tcPr>
            <w:vAlign w:val="center"/>
          </w:tcPr>
          <w:p>
            <w:pPr>
              <w:pStyle w:val="MDPI42tablebody"/>
              <w:jc w:val="center"/>
            </w:pPr>
            <m:oMath>
              <m:r>
                <m:rPr>
                  <m:sty m:val="p"/>
                </m:rPr>
                <m:t>+</m:t>
              </m:r>
              <m:r>
                <m:t>1.05</m:t>
              </m:r>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t xml:space="preserve">1.42</w:t>
            </w:r>
            <m:oMath>
              <m:sSup>
                <m:e>
                  <m:r>
                    <m:t>​</m:t>
                  </m:r>
                </m:e>
                <m:sup>
                  <m:r>
                    <m:rPr>
                      <m:sty m:val="p"/>
                    </m:rPr>
                    <m:t>*</m:t>
                  </m:r>
                </m:sup>
              </m:sSup>
            </m:oMath>
          </w:p>
        </w:tc>
        <w:tc>
          <w:tcPr>
            <w:vAlign w:val="center"/>
          </w:tcPr>
          <w:p>
            <w:pPr>
              <w:pStyle w:val="MDPI42tablebody"/>
              <w:jc w:val="center"/>
            </w:pPr>
            <w:r>
              <w:rPr>
                <w:b/>
                <w:bCs/>
              </w:rPr>
              <w:t xml:space="preserve">2624</w:t>
            </w:r>
          </w:p>
        </w:tc>
      </w:tr>
    </w:tbl>
    <w:bookmarkEnd w:id="54"/>
    <w:p>
      <w:pPr>
        <w:pStyle w:val="MDPI31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[28] and as expected from the identification-for-control literature</w:t>
      </w:r>
      <w:r>
        <w:t xml:space="preserve"> </w:t>
      </w:r>
      <w:r>
        <w:t xml:space="preserve">[19–20].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MDPI31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 direct 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w:t>
      </w:r>
      <w:r>
        <w:t xml:space="preserve"> </w:t>
      </w:r>
      <w:r>
        <w:t xml:space="preserve">the ensemble estimator)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MDPI31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jc w:val="center"/>
            </w:pPr>
            <w:r>
              <w:t xml:space="preserve">Library</w:t>
            </w:r>
          </w:p>
        </w:tc>
        <w:tc>
          <w:tcPr>
            <w:vAlign w:val="center"/>
          </w:tcPr>
          <w:p>
            <w:pPr>
              <w:pStyle w:val="MDPI42tablebody"/>
              <w:jc w:val="center"/>
            </w:pPr>
            <w:r>
              <w:t xml:space="preserve">Controller</w:t>
            </w:r>
          </w:p>
        </w:tc>
        <w:tc>
          <w:tcPr>
            <w:vAlign w:val="center"/>
          </w:tcPr>
          <w:p>
            <w:pPr>
              <w:pStyle w:val="MDPI42tablebody"/>
              <w:jc w:val="center"/>
            </w:pPr>
            <m:oMath>
              <m:r>
                <m:t>κ</m:t>
              </m:r>
            </m:oMath>
            <w:r>
              <w:t xml:space="preserve">​</w:t>
            </w:r>
          </w:p>
        </w:tc>
        <w:tc>
          <w:tcPr>
            <w:vAlign w:val="center"/>
          </w:tcPr>
          <w:p>
            <w:pPr>
              <w:pStyle w:val="MDPI42tablebody"/>
              <w:jc w:val="center"/>
            </w:pPr>
            <w:r>
              <w:t xml:space="preserve">Rollout</w:t>
            </w:r>
          </w:p>
        </w:tc>
        <w:tc>
          <w:tcPr>
            <w:vAlign w:val="center"/>
          </w:tcPr>
          <w:p>
            <w:pPr>
              <w:pStyle w:val="MDPI42tablebody"/>
              <w:jc w:val="center"/>
            </w:pPr>
            <w:r>
              <w:t xml:space="preserve">Diverged</w:t>
            </w:r>
          </w:p>
        </w:tc>
        <w:tc>
          <w:tcPr>
            <w:vAlign w:val="center"/>
          </w:tcPr>
          <w:p>
            <w:pPr>
              <w:pStyle w:val="MDPI42tablebody"/>
              <w:jc w:val="center"/>
            </w:pPr>
            <m:oMath>
              <m:r>
                <m:t>ξ</m:t>
              </m:r>
            </m:oMath>
            <w:r>
              <w:t xml:space="preserve">​</w:t>
            </w:r>
          </w:p>
        </w:tc>
        <w:tc>
          <w:tcPr>
            <w:vAlign w:val="center"/>
          </w:tcPr>
          <w:p>
            <w:pPr>
              <w:pStyle w:val="MDPI42tablebody"/>
              <w:jc w:val="center"/>
            </w:pPr>
            <w:r>
              <w:t xml:space="preserve">EPI</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fraction</w:t>
            </w:r>
          </w:p>
        </w:tc>
        <w:tc>
          <w:tcPr>
            <w:vAlign w:val="center"/>
          </w:tcPr>
          <w:p>
            <w:pPr>
              <w:pStyle w:val="MDPI42tablebody"/>
              <w:jc w:val="center"/>
            </w:pPr>
            <w:r>
              <w:t xml:space="preserve">survival</w:t>
            </w:r>
          </w:p>
        </w:tc>
        <w:tc>
          <w:tcPr>
            <w:vAlign w:val="center"/>
          </w:tcPr>
          <w:p>
            <w:pPr>
              <w:pStyle w:val="MDPI42tablebody"/>
              <w:jc w:val="center"/>
            </w:pPr>
            <w:r>
              <w:t xml:space="preserve">(four-season)</w:t>
            </w:r>
          </w:p>
        </w:tc>
      </w:tr>
      <w:tr>
        <w:tc>
          <w:tcPr>
            <w:gridSpan w:val="7"/>
            <w:vAlign w:val="center"/>
          </w:tcPr>
          <w:p>
            <w:pPr>
              <w:pStyle w:val="MDPI42tablebody"/>
              <w:jc w:val="center"/>
            </w:pPr>
            <w:r>
              <w:rPr>
                <w:i/>
                <w:iCs/>
              </w:rPr>
              <w:t xml:space="preserve">Ensemble estimator</w:t>
            </w:r>
          </w:p>
        </w:tc>
      </w:tr>
      <w:t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8.21</w:t>
            </w:r>
          </w:p>
        </w:tc>
        <w:tc>
          <w:tcPr>
            <w:vAlign w:val="center"/>
          </w:tcPr>
          <w:p>
            <w:pPr>
              <w:pStyle w:val="MDPI42tablebody"/>
              <w:jc w:val="center"/>
            </w:pPr>
            <w:r>
              <w:rPr>
                <w:b/>
                <w:bCs/>
              </w:rPr>
              <w:t xml:space="preserve">2.67</w:t>
            </w:r>
          </w:p>
        </w:tc>
        <w:tc>
          <w:tcPr>
            <w:vAlign w:val="center"/>
          </w:tcPr>
          <w:p>
            <w:pPr>
              <w:pStyle w:val="MDPI42tablebody"/>
              <w:jc w:val="center"/>
            </w:pPr>
            <w:r>
              <w:rPr>
                <w:b/>
                <w:bCs/>
              </w:rPr>
              <w:t xml:space="preserve">0.0000</w:t>
            </w:r>
          </w:p>
        </w:tc>
        <w:tc>
          <w:tcPr>
            <w:vAlign w:val="center"/>
          </w:tcPr>
          <w:p>
            <w:pPr>
              <w:pStyle w:val="MDPI42tablebody"/>
              <w:jc w:val="center"/>
            </w:pPr>
            <w:r>
              <w:t xml:space="preserve">0.55</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jc w:val="center"/>
            </w:pPr>
            <w:r>
              <w:rPr>
                <w:rStyle w:val="VerbatimChar"/>
              </w:rPr>
              <w:t xml:space="preserve">p_nc</w:t>
            </w:r>
          </w:p>
        </w:tc>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24.52</w:t>
            </w:r>
          </w:p>
        </w:tc>
        <w:tc>
          <w:tcPr>
            <w:vAlign w:val="center"/>
          </w:tcPr>
          <w:p>
            <w:pPr>
              <w:pStyle w:val="MDPI42tablebody"/>
              <w:jc w:val="center"/>
            </w:pPr>
            <w:r>
              <w:t xml:space="preserve">10.99</w:t>
            </w:r>
          </w:p>
        </w:tc>
        <w:tc>
          <w:tcPr>
            <w:vAlign w:val="center"/>
          </w:tcPr>
          <w:p>
            <w:pPr>
              <w:pStyle w:val="MDPI42tablebody"/>
              <w:jc w:val="center"/>
            </w:pPr>
            <w:r>
              <w:t xml:space="preserve">0.0208</w:t>
            </w:r>
          </w:p>
        </w:tc>
        <w:tc>
          <w:tcPr>
            <w:vAlign w:val="center"/>
          </w:tcPr>
          <w:p>
            <w:pPr>
              <w:pStyle w:val="MDPI42tablebody"/>
              <w:jc w:val="center"/>
            </w:pPr>
            <w:r>
              <w:t xml:space="preserve">0.15</w:t>
            </w:r>
          </w:p>
        </w:tc>
        <w:tc>
          <w:tcPr>
            <w:vAlign w:val="center"/>
          </w:tcPr>
          <w:p>
            <w:pPr>
              <w:pStyle w:val="MDPI42tablebody"/>
              <w:jc w:val="center"/>
            </w:pPr>
            <m:oMath>
              <m:r>
                <m:rPr>
                  <m:sty m:val="p"/>
                </m:rPr>
                <m:t>+</m:t>
              </m:r>
              <m:r>
                <m:t>0.28</m:t>
              </m:r>
              <m:r>
                <m:rPr>
                  <m:sty m:val="p"/>
                </m:rPr>
                <m:t>±</m:t>
              </m:r>
              <m:r>
                <m:t>4.11</m:t>
              </m:r>
            </m:oMath>
            <w:r>
              <w:t xml:space="preserve">​</w:t>
            </w:r>
          </w:p>
        </w:tc>
      </w:tr>
      <w:t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53.43</w:t>
            </w:r>
          </w:p>
        </w:tc>
        <w:tc>
          <w:tcPr>
            <w:vAlign w:val="center"/>
          </w:tcPr>
          <w:p>
            <w:pPr>
              <w:pStyle w:val="MDPI42tablebody"/>
              <w:jc w:val="center"/>
            </w:pPr>
            <w:r>
              <w:t xml:space="preserve">24.27</w:t>
            </w:r>
          </w:p>
        </w:tc>
        <w:tc>
          <w:tcPr>
            <w:vAlign w:val="center"/>
          </w:tcPr>
          <w:p>
            <w:pPr>
              <w:pStyle w:val="MDPI42tablebody"/>
              <w:jc w:val="center"/>
            </w:pPr>
            <w:r>
              <w:t xml:space="preserve">0.0767</w:t>
            </w:r>
          </w:p>
        </w:tc>
        <w:tc>
          <w:tcPr>
            <w:vAlign w:val="center"/>
          </w:tcPr>
          <w:p>
            <w:pPr>
              <w:pStyle w:val="MDPI42tablebody"/>
              <w:jc w:val="center"/>
            </w:pPr>
            <w:r>
              <w:t xml:space="preserve">0.55</w:t>
            </w:r>
          </w:p>
        </w:tc>
        <w:tc>
          <w:tcPr>
            <w:vAlign w:val="center"/>
          </w:tcPr>
          <w:p>
            <w:pPr>
              <w:pStyle w:val="MDPI42tablebody"/>
              <w:jc w:val="center"/>
            </w:pPr>
            <m:oMath>
              <m:r>
                <m:rPr>
                  <m:sty m:val="p"/>
                </m:rPr>
                <m:t>+</m:t>
              </m:r>
              <m:r>
                <m:t>2.75</m:t>
              </m:r>
              <m:r>
                <m:rPr>
                  <m:sty m:val="p"/>
                </m:rPr>
                <m:t>±</m:t>
              </m:r>
              <m:r>
                <m:t>3.47</m:t>
              </m:r>
            </m:oMath>
            <w:r>
              <w:t xml:space="preserve">​</w:t>
            </w:r>
          </w:p>
        </w:tc>
      </w:tr>
      <w:t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sindy_mpc_notuboil_ens</w:t>
            </w:r>
          </w:p>
        </w:tc>
        <w:tc>
          <w:tcPr>
            <w:vAlign w:val="center"/>
          </w:tcPr>
          <w:p>
            <w:pPr>
              <w:pStyle w:val="MDPI42tablebody"/>
              <w:jc w:val="center"/>
            </w:pPr>
            <w:r>
              <w:t xml:space="preserve">52.28</w:t>
            </w:r>
          </w:p>
        </w:tc>
        <w:tc>
          <w:tcPr>
            <w:vAlign w:val="center"/>
          </w:tcPr>
          <w:p>
            <w:pPr>
              <w:pStyle w:val="MDPI42tablebody"/>
              <w:jc w:val="center"/>
            </w:pPr>
            <w:r>
              <w:t xml:space="preserve">24.17</w:t>
            </w:r>
          </w:p>
        </w:tc>
        <w:tc>
          <w:tcPr>
            <w:vAlign w:val="center"/>
          </w:tcPr>
          <w:p>
            <w:pPr>
              <w:pStyle w:val="MDPI42tablebody"/>
              <w:jc w:val="center"/>
            </w:pPr>
            <w:r>
              <w:t xml:space="preserve">0.0842</w:t>
            </w:r>
          </w:p>
        </w:tc>
        <w:tc>
          <w:tcPr>
            <w:vAlign w:val="center"/>
          </w:tcPr>
          <w:p>
            <w:pPr>
              <w:pStyle w:val="MDPI42tablebody"/>
              <w:jc w:val="center"/>
            </w:pPr>
            <w:r>
              <w:t xml:space="preserve">0.40</w:t>
            </w:r>
          </w:p>
        </w:tc>
        <w:tc>
          <w:tcPr>
            <w:vAlign w:val="center"/>
          </w:tcPr>
          <w:p>
            <w:pPr>
              <w:pStyle w:val="MDPI42tablebody"/>
              <w:jc w:val="center"/>
            </w:pPr>
            <m:oMath>
              <m:r>
                <m:rPr>
                  <m:sty m:val="p"/>
                </m:rPr>
                <m:t>+</m:t>
              </m:r>
              <m:r>
                <m:t>2.11</m:t>
              </m:r>
              <m:r>
                <m:rPr>
                  <m:sty m:val="p"/>
                </m:rPr>
                <m:t>±</m:t>
              </m:r>
              <m:r>
                <m:t>3.51</m:t>
              </m:r>
            </m:oMath>
            <w:r>
              <w:t xml:space="preserve">​</w:t>
            </w:r>
          </w:p>
        </w:tc>
      </w:tr>
      <w:tr>
        <w:tc>
          <w:tcPr>
            <w:gridSpan w:val="7"/>
            <w:vAlign w:val="center"/>
          </w:tcPr>
          <w:p>
            <w:pPr>
              <w:pStyle w:val="MDPI42tablebody"/>
              <w:jc w:val="center"/>
            </w:pPr>
            <w:r>
              <w:rPr>
                <w:i/>
                <w:iCs/>
              </w:rPr>
              <w:t xml:space="preserve">STLSQ estimator</w:t>
            </w:r>
          </w:p>
        </w:tc>
      </w:tr>
      <w:t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8.21</w:t>
            </w:r>
          </w:p>
        </w:tc>
        <w:tc>
          <w:tcPr>
            <w:vAlign w:val="center"/>
          </w:tcPr>
          <w:p>
            <w:pPr>
              <w:pStyle w:val="MDPI42tablebody"/>
              <w:jc w:val="center"/>
            </w:pPr>
            <w:r>
              <w:t xml:space="preserve">2.67</w:t>
            </w:r>
          </w:p>
        </w:tc>
        <w:tc>
          <w:tcPr>
            <w:vAlign w:val="center"/>
          </w:tcPr>
          <w:p>
            <w:pPr>
              <w:pStyle w:val="MDPI42tablebody"/>
              <w:jc w:val="center"/>
            </w:pPr>
            <w:r>
              <w:t xml:space="preserve">0.0000</w:t>
            </w:r>
          </w:p>
        </w:tc>
        <w:tc>
          <w:tcPr>
            <w:vAlign w:val="center"/>
          </w:tcPr>
          <w:p>
            <w:pPr>
              <w:pStyle w:val="MDPI42tablebody"/>
              <w:jc w:val="center"/>
            </w:pPr>
            <w:r>
              <w:t xml:space="preserve">0.50</w:t>
            </w:r>
          </w:p>
        </w:tc>
        <w:tc>
          <w:tcPr>
            <w:vAlign w:val="center"/>
          </w:tcPr>
          <w:p>
            <w:pPr>
              <w:pStyle w:val="MDPI42tablebody"/>
              <w:jc w:val="center"/>
            </w:pPr>
            <m:oMath>
              <m:r>
                <m:rPr>
                  <m:sty m:val="p"/>
                </m:rPr>
                <m:t>+</m:t>
              </m:r>
              <m:r>
                <m:t>3.83</m:t>
              </m:r>
              <m:r>
                <m:rPr>
                  <m:sty m:val="p"/>
                </m:rPr>
                <m:t>±</m:t>
              </m:r>
              <m:r>
                <m:t>4.23</m:t>
              </m:r>
            </m:oMath>
            <w:r>
              <w:t xml:space="preserve">​</w:t>
            </w:r>
          </w:p>
        </w:tc>
      </w:tr>
      <w:tr>
        <w:tc>
          <w:tcPr>
            <w:vAlign w:val="center"/>
          </w:tcPr>
          <w:p>
            <w:pPr>
              <w:pStyle w:val="MDPI42tablebody"/>
              <w:jc w:val="center"/>
            </w:pPr>
            <w:r>
              <w:rPr>
                <w:rStyle w:val="VerbatimChar"/>
              </w:rPr>
              <w:t xml:space="preserve">p_nc</w:t>
            </w:r>
          </w:p>
        </w:tc>
        <w:tc>
          <w:tcPr>
            <w:vAlign w:val="center"/>
          </w:tcPr>
          <w:p>
            <w:pPr>
              <w:pStyle w:val="MDPI42tablebody"/>
              <w:jc w:val="center"/>
            </w:pPr>
            <w:r>
              <w:t xml:space="preserve">– (not run)</w:t>
            </w:r>
          </w:p>
        </w:tc>
        <w:tc>
          <w:tcPr>
            <w:vAlign w:val="center"/>
          </w:tcPr>
          <w:p>
            <w:pPr>
              <w:pStyle w:val="MDPI42tablebody"/>
              <w:jc w:val="center"/>
            </w:pPr>
            <w:r>
              <w:t xml:space="preserve">24.52</w:t>
            </w:r>
          </w:p>
        </w:tc>
        <w:tc>
          <w:tcPr>
            <w:vAlign w:val="center"/>
          </w:tcPr>
          <w:p>
            <w:pPr>
              <w:pStyle w:val="MDPI42tablebody"/>
              <w:jc w:val="center"/>
            </w:pPr>
            <w:r>
              <w:t xml:space="preserve">10.45</w:t>
            </w:r>
          </w:p>
        </w:tc>
        <w:tc>
          <w:tcPr>
            <w:vAlign w:val="center"/>
          </w:tcPr>
          <w:p>
            <w:pPr>
              <w:pStyle w:val="MDPI42tablebody"/>
              <w:jc w:val="center"/>
            </w:pPr>
            <w:r>
              <w:t xml:space="preserve">0.0200</w:t>
            </w:r>
          </w:p>
        </w:tc>
        <w:tc>
          <w:tcPr>
            <w:vAlign w:val="center"/>
          </w:tcPr>
          <w:p>
            <w:pPr>
              <w:pStyle w:val="MDPI42tablebody"/>
              <w:jc w:val="center"/>
            </w:pPr>
            <w:r>
              <w:t xml:space="preserve">–</w:t>
            </w:r>
          </w:p>
        </w:tc>
        <w:tc>
          <w:tcPr>
            <w:vAlign w:val="center"/>
          </w:tcPr>
          <w:p>
            <w:pPr>
              <w:pStyle w:val="MDPI42tablebody"/>
              <w:jc w:val="center"/>
            </w:pPr>
            <w:r>
              <w:t xml:space="preserve">–</w:t>
            </w:r>
          </w:p>
        </w:tc>
      </w:tr>
      <w:t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53.43</w:t>
            </w:r>
          </w:p>
        </w:tc>
        <w:tc>
          <w:tcPr>
            <w:vAlign w:val="center"/>
          </w:tcPr>
          <w:p>
            <w:pPr>
              <w:pStyle w:val="MDPI42tablebody"/>
              <w:jc w:val="center"/>
            </w:pPr>
            <w:r>
              <w:t xml:space="preserve">24.49</w:t>
            </w:r>
          </w:p>
        </w:tc>
        <w:tc>
          <w:tcPr>
            <w:vAlign w:val="center"/>
          </w:tcPr>
          <w:p>
            <w:pPr>
              <w:pStyle w:val="MDPI42tablebody"/>
              <w:jc w:val="center"/>
            </w:pPr>
            <w:r>
              <w:t xml:space="preserve">0.0750</w:t>
            </w:r>
          </w:p>
        </w:tc>
        <w:tc>
          <w:tcPr>
            <w:vAlign w:val="center"/>
          </w:tcPr>
          <w:p>
            <w:pPr>
              <w:pStyle w:val="MDPI42tablebody"/>
              <w:jc w:val="center"/>
            </w:pPr>
            <w:r>
              <w:t xml:space="preserve">0.55</w:t>
            </w:r>
          </w:p>
        </w:tc>
        <w:tc>
          <w:tcPr>
            <w:vAlign w:val="center"/>
          </w:tcPr>
          <w:p>
            <w:pPr>
              <w:pStyle w:val="MDPI42tablebody"/>
              <w:jc w:val="center"/>
            </w:pPr>
            <m:oMath>
              <m:r>
                <m:rPr>
                  <m:sty m:val="p"/>
                </m:rPr>
                <m:t>+</m:t>
              </m:r>
              <m:r>
                <m:t>2.48</m:t>
              </m:r>
              <m:r>
                <m:rPr>
                  <m:sty m:val="p"/>
                </m:rPr>
                <m:t>±</m:t>
              </m:r>
              <m:r>
                <m:t>3.62</m:t>
              </m:r>
            </m:oMath>
            <w:r>
              <w:t xml:space="preserve">​</w:t>
            </w:r>
          </w:p>
        </w:tc>
      </w:tr>
      <w:t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w:t>
            </w:r>
          </w:p>
        </w:tc>
        <w:tc>
          <w:tcPr>
            <w:vAlign w:val="center"/>
          </w:tcPr>
          <w:p>
            <w:pPr>
              <w:pStyle w:val="MDPI42tablebody"/>
              <w:jc w:val="center"/>
            </w:pPr>
            <w:r>
              <w:t xml:space="preserve">52.28</w:t>
            </w:r>
          </w:p>
        </w:tc>
        <w:tc>
          <w:tcPr>
            <w:vAlign w:val="center"/>
          </w:tcPr>
          <w:p>
            <w:pPr>
              <w:pStyle w:val="MDPI42tablebody"/>
              <w:jc w:val="center"/>
            </w:pPr>
            <w:r>
              <w:t xml:space="preserve">23.58</w:t>
            </w:r>
          </w:p>
        </w:tc>
        <w:tc>
          <w:tcPr>
            <w:vAlign w:val="center"/>
          </w:tcPr>
          <w:p>
            <w:pPr>
              <w:pStyle w:val="MDPI42tablebody"/>
              <w:jc w:val="center"/>
            </w:pPr>
            <w:r>
              <w:t xml:space="preserve">0.0783</w:t>
            </w:r>
          </w:p>
        </w:tc>
        <w:tc>
          <w:tcPr>
            <w:vAlign w:val="center"/>
          </w:tcPr>
          <w:p>
            <w:pPr>
              <w:pStyle w:val="MDPI42tablebody"/>
              <w:jc w:val="center"/>
            </w:pPr>
            <w:r>
              <w:t xml:space="preserve">0.40</w:t>
            </w:r>
          </w:p>
        </w:tc>
        <w:tc>
          <w:tcPr>
            <w:vAlign w:val="center"/>
          </w:tcPr>
          <w:p>
            <w:pPr>
              <w:pStyle w:val="MDPI42tablebody"/>
              <w:jc w:val="center"/>
            </w:pPr>
            <m:oMath>
              <m:r>
                <m:rPr>
                  <m:sty m:val="p"/>
                </m:rPr>
                <m:t>+</m:t>
              </m:r>
              <m:r>
                <m:t>2.28</m:t>
              </m:r>
              <m:r>
                <m:rPr>
                  <m:sty m:val="p"/>
                </m:rPr>
                <m:t>±</m:t>
              </m:r>
              <m:r>
                <m:t>3.55</m:t>
              </m:r>
            </m:oMath>
            <w:r>
              <w:t xml:space="preserve">​</w:t>
            </w:r>
          </w:p>
        </w:tc>
      </w:tr>
    </w:tbl>
    <w:bookmarkEnd w:id="56"/>
    <w:p>
      <w:pPr>
        <w:pStyle w:val="MDPI31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jc w:val="center"/>
            </w:pPr>
            <m:oMath>
              <m:r>
                <m:t>λ</m:t>
              </m:r>
            </m:oMath>
            <w:r>
              <w:t xml:space="preserve">​</w:t>
            </w:r>
          </w:p>
        </w:tc>
        <w:tc>
          <w:tcPr>
            <w:vAlign w:val="center"/>
          </w:tcPr>
          <w:p>
            <w:pPr>
              <w:pStyle w:val="MDPI42tablebody"/>
              <w:jc w:val="center"/>
            </w:pPr>
            <w:r>
              <w:t xml:space="preserve">Active terms</w:t>
            </w:r>
          </w:p>
        </w:tc>
        <w:tc>
          <w:tcPr>
            <w:vAlign w:val="center"/>
          </w:tcPr>
          <w:p>
            <w:pPr>
              <w:pStyle w:val="MDPI42tablebody"/>
              <w:jc w:val="center"/>
            </w:pPr>
            <m:oMath>
              <m:r>
                <m:t>ξ</m:t>
              </m:r>
            </m:oMath>
            <w:r>
              <w:t xml:space="preserve"> </w:t>
            </w:r>
            <w:r>
              <w:t xml:space="preserve">survival</w:t>
            </w:r>
          </w:p>
        </w:tc>
        <w:tc>
          <w:tcPr>
            <w:vAlign w:val="center"/>
          </w:tcPr>
          <w:p>
            <w:pPr>
              <w:pStyle w:val="MDPI42tablebody"/>
              <w:jc w:val="center"/>
            </w:pPr>
            <w:r>
              <w:t xml:space="preserve">EPI (priced)</w:t>
            </w:r>
          </w:p>
        </w:tc>
        <w:tc>
          <w:tcPr>
            <w:vAlign w:val="center"/>
          </w:tcPr>
          <w:p>
            <w:pPr>
              <w:pStyle w:val="MDPI42tablebody"/>
              <w:jc w:val="center"/>
            </w:pPr>
            <w:r>
              <w:t xml:space="preserve">EPI (original)</w:t>
            </w:r>
          </w:p>
        </w:tc>
        <w:tc>
          <w:tcPr>
            <w:vAlign w:val="center"/>
          </w:tcPr>
          <w:p>
            <w:pPr>
              <w:pStyle w:val="MDPI42tablebody"/>
              <w:jc w:val="center"/>
            </w:pPr>
            <m:oMath>
              <m:r>
                <m:rPr>
                  <m:sty m:val="p"/>
                </m:rPr>
                <m:t>Δ</m:t>
              </m:r>
            </m:oMath>
            <w:r>
              <w:t xml:space="preserve">​</w:t>
            </w:r>
          </w:p>
        </w:tc>
      </w:tr>
      <w:tr>
        <w:tc>
          <w:tcPr>
            <w:vAlign w:val="center"/>
          </w:tcPr>
          <w:p>
            <w:pPr>
              <w:pStyle w:val="MDPI42tablebody"/>
              <w:jc w:val="center"/>
            </w:pPr>
            <m:oMath>
              <m:sSup>
                <m:e>
                  <m:r>
                    <m:t>10</m:t>
                  </m:r>
                </m:e>
                <m:sup>
                  <m:r>
                    <m:rPr>
                      <m:sty m:val="p"/>
                    </m:rPr>
                    <m:t>−</m:t>
                  </m:r>
                  <m:r>
                    <m:t>6</m:t>
                  </m:r>
                </m:sup>
              </m:sSup>
            </m:oMath>
            <w:r>
              <w:t xml:space="preserve">​</w:t>
            </w:r>
          </w:p>
        </w:tc>
        <w:tc>
          <w:tcPr>
            <w:vAlign w:val="center"/>
          </w:tcPr>
          <w:p>
            <w:pPr>
              <w:pStyle w:val="MDPI42tablebody"/>
              <w:jc w:val="center"/>
            </w:pPr>
            <w:r>
              <w:t xml:space="preserve">53.95</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3.68</m:t>
              </m:r>
              <m:r>
                <m:rPr>
                  <m:sty m:val="p"/>
                </m:rPr>
                <m:t>±</m:t>
              </m:r>
              <m:r>
                <m:t>1.85</m:t>
              </m:r>
            </m:oMath>
            <w:r>
              <w:t xml:space="preserve">​</w:t>
            </w:r>
          </w:p>
        </w:tc>
        <w:tc>
          <w:tcPr>
            <w:vAlign w:val="center"/>
          </w:tcPr>
          <w:p>
            <w:pPr>
              <w:pStyle w:val="MDPI42tablebody"/>
              <w:jc w:val="center"/>
            </w:pPr>
            <m:oMath>
              <m:r>
                <m:rPr>
                  <m:sty m:val="p"/>
                </m:rPr>
                <m:t>+</m:t>
              </m:r>
              <m:r>
                <m:t>2.90</m:t>
              </m:r>
            </m:oMath>
            <w:r>
              <w:t xml:space="preserve">​</w:t>
            </w:r>
          </w:p>
        </w:tc>
      </w:tr>
      <w:tr>
        <w:tc>
          <w:tcPr>
            <w:vAlign w:val="center"/>
          </w:tcPr>
          <w:p>
            <w:pPr>
              <w:pStyle w:val="MDPI42tablebody"/>
              <w:jc w:val="center"/>
            </w:pPr>
            <m:oMath>
              <m:sSup>
                <m:e>
                  <m:r>
                    <m:t>10</m:t>
                  </m:r>
                </m:e>
                <m:sup>
                  <m:r>
                    <m:rPr>
                      <m:sty m:val="p"/>
                    </m:rPr>
                    <m:t>−</m:t>
                  </m:r>
                  <m:r>
                    <m:t>3</m:t>
                  </m:r>
                </m:sup>
              </m:sSup>
            </m:oMath>
            <w:r>
              <w:t xml:space="preserve">​</w:t>
            </w:r>
          </w:p>
        </w:tc>
        <w:tc>
          <w:tcPr>
            <w:vAlign w:val="center"/>
          </w:tcPr>
          <w:p>
            <w:pPr>
              <w:pStyle w:val="MDPI42tablebody"/>
              <w:jc w:val="center"/>
            </w:pPr>
            <w:r>
              <w:t xml:space="preserve">49.60</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3.63</m:t>
              </m:r>
              <m:r>
                <m:rPr>
                  <m:sty m:val="p"/>
                </m:rPr>
                <m:t>±</m:t>
              </m:r>
              <m:r>
                <m:t>1.93</m:t>
              </m:r>
            </m:oMath>
            <w:r>
              <w:t xml:space="preserve">​</w:t>
            </w:r>
          </w:p>
        </w:tc>
        <w:tc>
          <w:tcPr>
            <w:vAlign w:val="center"/>
          </w:tcPr>
          <w:p>
            <w:pPr>
              <w:pStyle w:val="MDPI42tablebody"/>
              <w:jc w:val="center"/>
            </w:pPr>
            <m:oMath>
              <m:r>
                <m:rPr>
                  <m:sty m:val="p"/>
                </m:rPr>
                <m:t>+</m:t>
              </m:r>
              <m:r>
                <m:t>2.95</m:t>
              </m:r>
            </m:oMath>
            <w:r>
              <w:t xml:space="preserve">​</w:t>
            </w:r>
          </w:p>
        </w:tc>
      </w:tr>
      <w:tr>
        <w:tc>
          <w:tcPr>
            <w:vAlign w:val="center"/>
          </w:tcPr>
          <w:p>
            <w:pPr>
              <w:pStyle w:val="MDPI42tablebody"/>
              <w:jc w:val="center"/>
            </w:pPr>
            <w:r>
              <w:t xml:space="preserve">0.01</w:t>
            </w:r>
          </w:p>
        </w:tc>
        <w:tc>
          <w:tcPr>
            <w:vAlign w:val="center"/>
          </w:tcPr>
          <w:p>
            <w:pPr>
              <w:pStyle w:val="MDPI42tablebody"/>
              <w:jc w:val="center"/>
            </w:pPr>
            <w:r>
              <w:t xml:space="preserve">42.65</w:t>
            </w:r>
          </w:p>
        </w:tc>
        <w:tc>
          <w:tcPr>
            <w:vAlign w:val="center"/>
          </w:tcPr>
          <w:p>
            <w:pPr>
              <w:pStyle w:val="MDPI42tablebody"/>
              <w:jc w:val="center"/>
            </w:pPr>
            <w:r>
              <w:t xml:space="preserve">1.00</w:t>
            </w:r>
          </w:p>
        </w:tc>
        <w:tc>
          <w:tcPr>
            <w:vAlign w:val="center"/>
          </w:tcPr>
          <w:p>
            <w:pPr>
              <w:pStyle w:val="MDPI42tablebody"/>
              <w:jc w:val="center"/>
            </w:pPr>
            <m:oMath>
              <m:r>
                <m:t>6.11</m:t>
              </m:r>
              <m:r>
                <m:rPr>
                  <m:sty m:val="p"/>
                </m:rPr>
                <m:t>±</m:t>
              </m:r>
              <m:r>
                <m:t>2.52</m:t>
              </m:r>
            </m:oMath>
            <w:r>
              <w:t xml:space="preserve">​</w:t>
            </w:r>
          </w:p>
        </w:tc>
        <w:tc>
          <w:tcPr>
            <w:vAlign w:val="center"/>
          </w:tcPr>
          <w:p>
            <w:pPr>
              <w:pStyle w:val="MDPI42tablebody"/>
              <w:jc w:val="center"/>
            </w:pPr>
            <m:oMath>
              <m:r>
                <m:t>3.21</m:t>
              </m:r>
              <m:r>
                <m:rPr>
                  <m:sty m:val="p"/>
                </m:rPr>
                <m:t>±</m:t>
              </m:r>
              <m:r>
                <m:t>3.25</m:t>
              </m:r>
            </m:oMath>
            <w:r>
              <w:t xml:space="preserve">​</w:t>
            </w:r>
          </w:p>
        </w:tc>
        <w:tc>
          <w:tcPr>
            <w:vAlign w:val="center"/>
          </w:tcPr>
          <w:p>
            <w:pPr>
              <w:pStyle w:val="MDPI42tablebody"/>
              <w:jc w:val="center"/>
            </w:pPr>
            <m:oMath>
              <m:r>
                <m:rPr>
                  <m:sty m:val="p"/>
                </m:rPr>
                <m:t>+</m:t>
              </m:r>
              <m:r>
                <m:t>2.90</m:t>
              </m:r>
            </m:oMath>
            <w:r>
              <w:t xml:space="preserve">​</w:t>
            </w:r>
          </w:p>
        </w:tc>
      </w:tr>
      <w:tr>
        <w:tc>
          <w:tcPr>
            <w:vAlign w:val="center"/>
          </w:tcPr>
          <w:p>
            <w:pPr>
              <w:pStyle w:val="MDPI42tablebody"/>
              <w:jc w:val="center"/>
            </w:pPr>
            <w:r>
              <w:t xml:space="preserve">0.02</w:t>
            </w:r>
          </w:p>
        </w:tc>
        <w:tc>
          <w:tcPr>
            <w:vAlign w:val="center"/>
          </w:tcPr>
          <w:p>
            <w:pPr>
              <w:pStyle w:val="MDPI42tablebody"/>
              <w:jc w:val="center"/>
            </w:pPr>
            <w:r>
              <w:t xml:space="preserve">38.80</w:t>
            </w:r>
          </w:p>
        </w:tc>
        <w:tc>
          <w:tcPr>
            <w:vAlign w:val="center"/>
          </w:tcPr>
          <w:p>
            <w:pPr>
              <w:pStyle w:val="MDPI42tablebody"/>
              <w:jc w:val="center"/>
            </w:pPr>
            <w:r>
              <w:t xml:space="preserve">1.00</w:t>
            </w:r>
          </w:p>
        </w:tc>
        <w:tc>
          <w:tcPr>
            <w:vAlign w:val="center"/>
          </w:tcPr>
          <w:p>
            <w:pPr>
              <w:pStyle w:val="MDPI42tablebody"/>
              <w:jc w:val="center"/>
            </w:pPr>
            <m:oMath>
              <m:r>
                <m:t>6.38</m:t>
              </m:r>
              <m:r>
                <m:rPr>
                  <m:sty m:val="p"/>
                </m:rPr>
                <m:t>±</m:t>
              </m:r>
              <m:r>
                <m:t>2.00</m:t>
              </m:r>
            </m:oMath>
            <w:r>
              <w:t xml:space="preserve">​</w:t>
            </w:r>
          </w:p>
        </w:tc>
        <w:tc>
          <w:tcPr>
            <w:vAlign w:val="center"/>
          </w:tcPr>
          <w:p>
            <w:pPr>
              <w:pStyle w:val="MDPI42tablebody"/>
              <w:jc w:val="center"/>
            </w:pPr>
            <m:oMath>
              <m:r>
                <m:t>4.39</m:t>
              </m:r>
              <m:r>
                <m:rPr>
                  <m:sty m:val="p"/>
                </m:rPr>
                <m:t>±</m:t>
              </m:r>
              <m:r>
                <m:t>1.46</m:t>
              </m:r>
            </m:oMath>
            <w:r>
              <w:t xml:space="preserve">​</w:t>
            </w:r>
          </w:p>
        </w:tc>
        <w:tc>
          <w:tcPr>
            <w:vAlign w:val="center"/>
          </w:tcPr>
          <w:p>
            <w:pPr>
              <w:pStyle w:val="MDPI42tablebody"/>
              <w:jc w:val="center"/>
            </w:pPr>
            <m:oMath>
              <m:r>
                <m:rPr>
                  <m:sty m:val="p"/>
                </m:rPr>
                <m:t>+</m:t>
              </m:r>
              <m:r>
                <m:t>1.99</m:t>
              </m:r>
            </m:oMath>
            <w:r>
              <w:t xml:space="preserve">​</w:t>
            </w:r>
          </w:p>
        </w:tc>
      </w:tr>
      <w:tr>
        <w:tc>
          <w:tcPr>
            <w:vAlign w:val="center"/>
          </w:tcPr>
          <w:p>
            <w:pPr>
              <w:pStyle w:val="MDPI42tablebody"/>
              <w:jc w:val="center"/>
            </w:pPr>
            <w:r>
              <w:t xml:space="preserve">0.03</w:t>
            </w:r>
          </w:p>
        </w:tc>
        <w:tc>
          <w:tcPr>
            <w:vAlign w:val="center"/>
          </w:tcPr>
          <w:p>
            <w:pPr>
              <w:pStyle w:val="MDPI42tablebody"/>
              <w:jc w:val="center"/>
            </w:pPr>
            <w:r>
              <w:t xml:space="preserve">36.10</w:t>
            </w:r>
          </w:p>
        </w:tc>
        <w:tc>
          <w:tcPr>
            <w:vAlign w:val="center"/>
          </w:tcPr>
          <w:p>
            <w:pPr>
              <w:pStyle w:val="MDPI42tablebody"/>
              <w:jc w:val="center"/>
            </w:pPr>
            <w:r>
              <w:t xml:space="preserve">0.95</w:t>
            </w:r>
          </w:p>
        </w:tc>
        <w:tc>
          <w:tcPr>
            <w:vAlign w:val="center"/>
          </w:tcPr>
          <w:p>
            <w:pPr>
              <w:pStyle w:val="MDPI42tablebody"/>
              <w:jc w:val="center"/>
            </w:pPr>
            <m:oMath>
              <m:r>
                <m:t>6.41</m:t>
              </m:r>
              <m:r>
                <m:rPr>
                  <m:sty m:val="p"/>
                </m:rPr>
                <m:t>±</m:t>
              </m:r>
              <m:r>
                <m:t>1.82</m:t>
              </m:r>
            </m:oMath>
            <w:r>
              <w:t xml:space="preserve">​</w:t>
            </w:r>
          </w:p>
        </w:tc>
        <w:tc>
          <w:tcPr>
            <w:vAlign w:val="center"/>
          </w:tcPr>
          <w:p>
            <w:pPr>
              <w:pStyle w:val="MDPI42tablebody"/>
              <w:jc w:val="center"/>
            </w:pPr>
            <m:oMath>
              <m:r>
                <m:t>4.98</m:t>
              </m:r>
              <m:r>
                <m:rPr>
                  <m:sty m:val="p"/>
                </m:rPr>
                <m:t>±</m:t>
              </m:r>
              <m:r>
                <m:t>1.76</m:t>
              </m:r>
            </m:oMath>
            <w:r>
              <w:t xml:space="preserve">​</w:t>
            </w:r>
          </w:p>
        </w:tc>
        <w:tc>
          <w:tcPr>
            <w:vAlign w:val="center"/>
          </w:tcPr>
          <w:p>
            <w:pPr>
              <w:pStyle w:val="MDPI42tablebody"/>
              <w:jc w:val="center"/>
            </w:pPr>
            <m:oMath>
              <m:r>
                <m:rPr>
                  <m:sty m:val="p"/>
                </m:rPr>
                <m:t>+</m:t>
              </m:r>
              <m:r>
                <m:t>1.43</m:t>
              </m:r>
            </m:oMath>
            <w:r>
              <w:t xml:space="preserve">​</w:t>
            </w:r>
          </w:p>
        </w:tc>
      </w:tr>
      <w:tr>
        <w:tc>
          <w:tcPr>
            <w:vAlign w:val="center"/>
          </w:tcPr>
          <w:p>
            <w:pPr>
              <w:pStyle w:val="MDPI42tablebody"/>
              <w:jc w:val="center"/>
            </w:pPr>
            <w:r>
              <w:t xml:space="preserve">0.04</w:t>
            </w:r>
          </w:p>
        </w:tc>
        <w:tc>
          <w:tcPr>
            <w:vAlign w:val="center"/>
          </w:tcPr>
          <w:p>
            <w:pPr>
              <w:pStyle w:val="MDPI42tablebody"/>
              <w:jc w:val="center"/>
            </w:pPr>
            <w:r>
              <w:t xml:space="preserve">32.15</w:t>
            </w:r>
          </w:p>
        </w:tc>
        <w:tc>
          <w:tcPr>
            <w:vAlign w:val="center"/>
          </w:tcPr>
          <w:p>
            <w:pPr>
              <w:pStyle w:val="MDPI42tablebody"/>
              <w:jc w:val="center"/>
            </w:pPr>
            <w:r>
              <w:t xml:space="preserve">0.35</w:t>
            </w:r>
          </w:p>
        </w:tc>
        <w:tc>
          <w:tcPr>
            <w:vAlign w:val="center"/>
          </w:tcPr>
          <w:p>
            <w:pPr>
              <w:pStyle w:val="MDPI42tablebody"/>
              <w:jc w:val="center"/>
            </w:pPr>
            <m:oMath>
              <m:r>
                <m:t>4.30</m:t>
              </m:r>
              <m:r>
                <m:rPr>
                  <m:sty m:val="p"/>
                </m:rPr>
                <m:t>±</m:t>
              </m:r>
              <m:r>
                <m:t>3.51</m:t>
              </m:r>
            </m:oMath>
            <w:r>
              <w:t xml:space="preserve">​</w:t>
            </w:r>
          </w:p>
        </w:tc>
        <w:tc>
          <w:tcPr>
            <w:vAlign w:val="center"/>
          </w:tcPr>
          <w:p>
            <w:pPr>
              <w:pStyle w:val="MDPI42tablebody"/>
              <w:jc w:val="center"/>
            </w:pPr>
            <m:oMath>
              <m:r>
                <m:t>2.76</m:t>
              </m:r>
              <m:r>
                <m:rPr>
                  <m:sty m:val="p"/>
                </m:rPr>
                <m:t>±</m:t>
              </m:r>
              <m:r>
                <m:t>3.84</m:t>
              </m:r>
            </m:oMath>
            <w:r>
              <w:t xml:space="preserve">​</w:t>
            </w:r>
          </w:p>
        </w:tc>
        <w:tc>
          <w:tcPr>
            <w:vAlign w:val="center"/>
          </w:tcPr>
          <w:p>
            <w:pPr>
              <w:pStyle w:val="MDPI42tablebody"/>
              <w:jc w:val="center"/>
            </w:pPr>
            <m:oMath>
              <m:r>
                <m:rPr>
                  <m:sty m:val="p"/>
                </m:rPr>
                <m:t>+</m:t>
              </m:r>
              <m:r>
                <m:t>1.54</m:t>
              </m:r>
            </m:oMath>
            <w:r>
              <w:t xml:space="preserve">​</w:t>
            </w:r>
          </w:p>
        </w:tc>
      </w:tr>
      <w:tr>
        <w:tc>
          <w:tcPr>
            <w:vAlign w:val="center"/>
          </w:tcPr>
          <w:p>
            <w:pPr>
              <w:pStyle w:val="MDPI42tablebody"/>
              <w:jc w:val="center"/>
            </w:pPr>
            <w:r>
              <w:t xml:space="preserve">0.05</w:t>
            </w:r>
          </w:p>
        </w:tc>
        <w:tc>
          <w:tcPr>
            <w:vAlign w:val="center"/>
          </w:tcPr>
          <w:p>
            <w:pPr>
              <w:pStyle w:val="MDPI42tablebody"/>
              <w:jc w:val="center"/>
            </w:pPr>
            <w:r>
              <w:t xml:space="preserve">28.10</w:t>
            </w:r>
          </w:p>
        </w:tc>
        <w:tc>
          <w:tcPr>
            <w:vAlign w:val="center"/>
          </w:tcPr>
          <w:p>
            <w:pPr>
              <w:pStyle w:val="MDPI42tablebody"/>
              <w:jc w:val="center"/>
            </w:pPr>
            <w:r>
              <w:t xml:space="preserve">0.10</w:t>
            </w:r>
          </w:p>
        </w:tc>
        <w:tc>
          <w:tcPr>
            <w:vAlign w:val="center"/>
          </w:tcPr>
          <w:p>
            <w:pPr>
              <w:pStyle w:val="MDPI42tablebody"/>
              <w:jc w:val="center"/>
            </w:pPr>
            <m:oMath>
              <m:r>
                <m:t>4.04</m:t>
              </m:r>
              <m:r>
                <m:rPr>
                  <m:sty m:val="p"/>
                </m:rPr>
                <m:t>±</m:t>
              </m:r>
              <m:r>
                <m:t>4.14</m:t>
              </m:r>
            </m:oMath>
            <w:r>
              <w:t xml:space="preserve">​</w:t>
            </w:r>
          </w:p>
        </w:tc>
        <w:tc>
          <w:tcPr>
            <w:vAlign w:val="center"/>
          </w:tcPr>
          <w:p>
            <w:pPr>
              <w:pStyle w:val="MDPI42tablebody"/>
              <w:jc w:val="center"/>
            </w:pPr>
            <m:oMath>
              <m:r>
                <m:t>1.59</m:t>
              </m:r>
              <m:r>
                <m:rPr>
                  <m:sty m:val="p"/>
                </m:rPr>
                <m:t>±</m:t>
              </m:r>
              <m:r>
                <m:t>5.59</m:t>
              </m:r>
            </m:oMath>
            <w:r>
              <w:t xml:space="preserve">​</w:t>
            </w:r>
          </w:p>
        </w:tc>
        <w:tc>
          <w:tcPr>
            <w:vAlign w:val="center"/>
          </w:tcPr>
          <w:p>
            <w:pPr>
              <w:pStyle w:val="MDPI42tablebody"/>
              <w:jc w:val="center"/>
            </w:pPr>
            <m:oMath>
              <m:r>
                <m:rPr>
                  <m:sty m:val="p"/>
                </m:rPr>
                <m:t>+</m:t>
              </m:r>
              <m:r>
                <m:t>2.45</m:t>
              </m:r>
            </m:oMath>
            <w:r>
              <w:t xml:space="preserve">​</w:t>
            </w:r>
          </w:p>
        </w:tc>
      </w:tr>
      <w:tr>
        <w:tc>
          <w:tcPr>
            <w:vAlign w:val="center"/>
          </w:tcPr>
          <w:p>
            <w:pPr>
              <w:pStyle w:val="MDPI42tablebody"/>
              <w:jc w:val="center"/>
            </w:pPr>
            <w:r>
              <w:t xml:space="preserve">0.06</w:t>
            </w:r>
          </w:p>
        </w:tc>
        <w:tc>
          <w:tcPr>
            <w:vAlign w:val="center"/>
          </w:tcPr>
          <w:p>
            <w:pPr>
              <w:pStyle w:val="MDPI42tablebody"/>
              <w:jc w:val="center"/>
            </w:pPr>
            <w:r>
              <w:t xml:space="preserve">25.45</w:t>
            </w:r>
          </w:p>
        </w:tc>
        <w:tc>
          <w:tcPr>
            <w:vAlign w:val="center"/>
          </w:tcPr>
          <w:p>
            <w:pPr>
              <w:pStyle w:val="MDPI42tablebody"/>
              <w:jc w:val="center"/>
            </w:pPr>
            <w:r>
              <w:t xml:space="preserve">0.00</w:t>
            </w:r>
          </w:p>
        </w:tc>
        <w:tc>
          <w:tcPr>
            <w:vAlign w:val="center"/>
          </w:tcPr>
          <w:p>
            <w:pPr>
              <w:pStyle w:val="MDPI42tablebody"/>
              <w:jc w:val="center"/>
            </w:pPr>
            <m:oMath>
              <m:r>
                <m:t>3.59</m:t>
              </m:r>
              <m:r>
                <m:rPr>
                  <m:sty m:val="p"/>
                </m:rPr>
                <m:t>±</m:t>
              </m:r>
              <m:r>
                <m:t>2.96</m:t>
              </m:r>
            </m:oMath>
            <w:r>
              <w:t xml:space="preserve">​</w:t>
            </w:r>
          </w:p>
        </w:tc>
        <w:tc>
          <w:tcPr>
            <w:vAlign w:val="center"/>
          </w:tcPr>
          <w:p>
            <w:pPr>
              <w:pStyle w:val="MDPI42tablebody"/>
              <w:jc w:val="center"/>
            </w:pPr>
            <m:oMath>
              <m:r>
                <m:t>2.58</m:t>
              </m:r>
              <m:r>
                <m:rPr>
                  <m:sty m:val="p"/>
                </m:rPr>
                <m:t>±</m:t>
              </m:r>
              <m:r>
                <m:t>4.63</m:t>
              </m:r>
            </m:oMath>
            <w:r>
              <w:t xml:space="preserve">​</w:t>
            </w:r>
          </w:p>
        </w:tc>
        <w:tc>
          <w:tcPr>
            <w:vAlign w:val="center"/>
          </w:tcPr>
          <w:p>
            <w:pPr>
              <w:pStyle w:val="MDPI42tablebody"/>
              <w:jc w:val="center"/>
            </w:pPr>
            <m:oMath>
              <m:r>
                <m:rPr>
                  <m:sty m:val="p"/>
                </m:rPr>
                <m:t>+</m:t>
              </m:r>
              <m:r>
                <m:t>1.01</m:t>
              </m:r>
            </m:oMath>
            <w:r>
              <w:t xml:space="preserve">​</w:t>
            </w:r>
          </w:p>
        </w:tc>
      </w:tr>
      <w:tr>
        <w:tc>
          <w:tcPr>
            <w:vAlign w:val="center"/>
          </w:tcPr>
          <w:p>
            <w:pPr>
              <w:pStyle w:val="MDPI42tablebody"/>
              <w:jc w:val="center"/>
            </w:pPr>
            <w:r>
              <w:t xml:space="preserve">0.07</w:t>
            </w:r>
          </w:p>
        </w:tc>
        <w:tc>
          <w:tcPr>
            <w:vAlign w:val="center"/>
          </w:tcPr>
          <w:p>
            <w:pPr>
              <w:pStyle w:val="MDPI42tablebody"/>
              <w:jc w:val="center"/>
            </w:pPr>
            <w:r>
              <w:t xml:space="preserve">23.05</w:t>
            </w:r>
          </w:p>
        </w:tc>
        <w:tc>
          <w:tcPr>
            <w:vAlign w:val="center"/>
          </w:tcPr>
          <w:p>
            <w:pPr>
              <w:pStyle w:val="MDPI42tablebody"/>
              <w:jc w:val="center"/>
            </w:pPr>
            <w:r>
              <w:t xml:space="preserve">0.00</w:t>
            </w:r>
          </w:p>
        </w:tc>
        <w:tc>
          <w:tcPr>
            <w:vAlign w:val="center"/>
          </w:tcPr>
          <w:p>
            <w:pPr>
              <w:pStyle w:val="MDPI42tablebody"/>
              <w:jc w:val="center"/>
            </w:pPr>
            <m:oMath>
              <m:r>
                <m:t>4.01</m:t>
              </m:r>
              <m:r>
                <m:rPr>
                  <m:sty m:val="p"/>
                </m:rPr>
                <m:t>±</m:t>
              </m:r>
              <m:r>
                <m:t>2.37</m:t>
              </m:r>
            </m:oMath>
            <w:r>
              <w:t xml:space="preserve">​</w:t>
            </w:r>
          </w:p>
        </w:tc>
        <w:tc>
          <w:tcPr>
            <w:vAlign w:val="center"/>
          </w:tcPr>
          <w:p>
            <w:pPr>
              <w:pStyle w:val="MDPI42tablebody"/>
              <w:jc w:val="center"/>
            </w:pPr>
            <m:oMath>
              <m:r>
                <m:t>3.67</m:t>
              </m:r>
              <m:r>
                <m:rPr>
                  <m:sty m:val="p"/>
                </m:rPr>
                <m:t>±</m:t>
              </m:r>
              <m:r>
                <m:t>2.62</m:t>
              </m:r>
            </m:oMath>
            <w:r>
              <w:t xml:space="preserve">​</w:t>
            </w:r>
          </w:p>
        </w:tc>
        <w:tc>
          <w:tcPr>
            <w:vAlign w:val="center"/>
          </w:tcPr>
          <w:p>
            <w:pPr>
              <w:pStyle w:val="MDPI42tablebody"/>
              <w:jc w:val="center"/>
            </w:pPr>
            <m:oMath>
              <m:r>
                <m:rPr>
                  <m:sty m:val="p"/>
                </m:rPr>
                <m:t>+</m:t>
              </m:r>
              <m:r>
                <m:t>0.34</m:t>
              </m:r>
            </m:oMath>
            <w:r>
              <w:t xml:space="preserve">​</w:t>
            </w:r>
          </w:p>
        </w:tc>
      </w:tr>
      <w:tr>
        <w:tc>
          <w:tcPr>
            <w:vAlign w:val="center"/>
          </w:tcPr>
          <w:p>
            <w:pPr>
              <w:pStyle w:val="MDPI42tablebody"/>
              <w:jc w:val="center"/>
            </w:pPr>
            <w:r>
              <w:t xml:space="preserve">0.08</w:t>
            </w:r>
          </w:p>
        </w:tc>
        <w:tc>
          <w:tcPr>
            <w:vAlign w:val="center"/>
          </w:tcPr>
          <w:p>
            <w:pPr>
              <w:pStyle w:val="MDPI42tablebody"/>
              <w:jc w:val="center"/>
            </w:pPr>
            <w:r>
              <w:t xml:space="preserve">21.30</w:t>
            </w:r>
          </w:p>
        </w:tc>
        <w:tc>
          <w:tcPr>
            <w:vAlign w:val="center"/>
          </w:tcPr>
          <w:p>
            <w:pPr>
              <w:pStyle w:val="MDPI42tablebody"/>
              <w:jc w:val="center"/>
            </w:pPr>
            <w:r>
              <w:t xml:space="preserve">0.00</w:t>
            </w:r>
          </w:p>
        </w:tc>
        <w:tc>
          <w:tcPr>
            <w:vAlign w:val="center"/>
          </w:tcPr>
          <w:p>
            <w:pPr>
              <w:pStyle w:val="MDPI42tablebody"/>
              <w:jc w:val="center"/>
            </w:pPr>
            <m:oMath>
              <m:r>
                <m:t>3.04</m:t>
              </m:r>
              <m:r>
                <m:rPr>
                  <m:sty m:val="p"/>
                </m:rPr>
                <m:t>±</m:t>
              </m:r>
              <m:r>
                <m:t>1.09</m:t>
              </m:r>
            </m:oMath>
            <w:r>
              <w:t xml:space="preserve">​</w:t>
            </w:r>
          </w:p>
        </w:tc>
        <w:tc>
          <w:tcPr>
            <w:vAlign w:val="center"/>
          </w:tcPr>
          <w:p>
            <w:pPr>
              <w:pStyle w:val="MDPI42tablebody"/>
              <w:jc w:val="center"/>
            </w:pPr>
            <m:oMath>
              <m:r>
                <m:t>2.49</m:t>
              </m:r>
              <m:r>
                <m:rPr>
                  <m:sty m:val="p"/>
                </m:rPr>
                <m:t>±</m:t>
              </m:r>
              <m:r>
                <m:t>1.23</m:t>
              </m:r>
            </m:oMath>
            <w:r>
              <w:t xml:space="preserve">​</w:t>
            </w:r>
          </w:p>
        </w:tc>
        <w:tc>
          <w:tcPr>
            <w:vAlign w:val="center"/>
          </w:tcPr>
          <w:p>
            <w:pPr>
              <w:pStyle w:val="MDPI42tablebody"/>
              <w:jc w:val="center"/>
            </w:pPr>
            <m:oMath>
              <m:r>
                <m:rPr>
                  <m:sty m:val="p"/>
                </m:rPr>
                <m:t>+</m:t>
              </m:r>
              <m:r>
                <m:t>0.55</m:t>
              </m:r>
            </m:oMath>
            <w:r>
              <w:t xml:space="preserve">​</w:t>
            </w:r>
          </w:p>
        </w:tc>
      </w:tr>
      <w:tr>
        <w:tc>
          <w:tcPr>
            <w:vAlign w:val="center"/>
          </w:tcPr>
          <w:p>
            <w:pPr>
              <w:pStyle w:val="MDPI42tablebody"/>
              <w:jc w:val="center"/>
            </w:pPr>
            <w:r>
              <w:t xml:space="preserve">0.10</w:t>
            </w:r>
          </w:p>
        </w:tc>
        <w:tc>
          <w:tcPr>
            <w:vAlign w:val="center"/>
          </w:tcPr>
          <w:p>
            <w:pPr>
              <w:pStyle w:val="MDPI42tablebody"/>
              <w:jc w:val="center"/>
            </w:pPr>
            <w:r>
              <w:t xml:space="preserve">19.50</w:t>
            </w:r>
          </w:p>
        </w:tc>
        <w:tc>
          <w:tcPr>
            <w:vAlign w:val="center"/>
          </w:tcPr>
          <w:p>
            <w:pPr>
              <w:pStyle w:val="MDPI42tablebody"/>
              <w:jc w:val="center"/>
            </w:pPr>
            <w:r>
              <w:t xml:space="preserve">0.00</w:t>
            </w:r>
          </w:p>
        </w:tc>
        <w:tc>
          <w:tcPr>
            <w:vAlign w:val="center"/>
          </w:tcPr>
          <w:p>
            <w:pPr>
              <w:pStyle w:val="MDPI42tablebody"/>
              <w:jc w:val="center"/>
            </w:pPr>
            <m:oMath>
              <m:r>
                <m:t>3.11</m:t>
              </m:r>
              <m:r>
                <m:rPr>
                  <m:sty m:val="p"/>
                </m:rPr>
                <m:t>±</m:t>
              </m:r>
              <m:r>
                <m:t>0.36</m:t>
              </m:r>
            </m:oMath>
            <w:r>
              <w:t xml:space="preserve">​</w:t>
            </w:r>
          </w:p>
        </w:tc>
        <w:tc>
          <w:tcPr>
            <w:vAlign w:val="center"/>
          </w:tcPr>
          <w:p>
            <w:pPr>
              <w:pStyle w:val="MDPI42tablebody"/>
              <w:jc w:val="center"/>
            </w:pPr>
            <m:oMath>
              <m:r>
                <m:t>2.50</m:t>
              </m:r>
              <m:r>
                <m:rPr>
                  <m:sty m:val="p"/>
                </m:rPr>
                <m:t>±</m:t>
              </m:r>
              <m:r>
                <m:t>0.34</m:t>
              </m:r>
            </m:oMath>
            <w:r>
              <w:t xml:space="preserve">​</w:t>
            </w:r>
          </w:p>
        </w:tc>
        <w:tc>
          <w:tcPr>
            <w:vAlign w:val="center"/>
          </w:tcPr>
          <w:p>
            <w:pPr>
              <w:pStyle w:val="MDPI42tablebody"/>
              <w:jc w:val="center"/>
            </w:pPr>
            <m:oMath>
              <m:r>
                <m:rPr>
                  <m:sty m:val="p"/>
                </m:rPr>
                <m:t>+</m:t>
              </m:r>
              <m:r>
                <m:t>0.61</m:t>
              </m:r>
            </m:oMath>
            <w:r>
              <w:t xml:space="preserve">​</w:t>
            </w:r>
          </w:p>
        </w:tc>
      </w:tr>
      <w:tr>
        <w:tc>
          <w:tcPr>
            <w:vAlign w:val="center"/>
          </w:tcPr>
          <w:p>
            <w:pPr>
              <w:pStyle w:val="MDPI42tablebody"/>
              <w:jc w:val="center"/>
            </w:pPr>
            <w:r>
              <w:t xml:space="preserve">0.15</w:t>
            </w:r>
          </w:p>
        </w:tc>
        <w:tc>
          <w:tcPr>
            <w:vAlign w:val="center"/>
          </w:tcPr>
          <w:p>
            <w:pPr>
              <w:pStyle w:val="MDPI42tablebody"/>
              <w:jc w:val="center"/>
            </w:pPr>
            <w:r>
              <w:t xml:space="preserve">14.40</w:t>
            </w:r>
          </w:p>
        </w:tc>
        <w:tc>
          <w:tcPr>
            <w:vAlign w:val="center"/>
          </w:tcPr>
          <w:p>
            <w:pPr>
              <w:pStyle w:val="MDPI42tablebody"/>
              <w:jc w:val="center"/>
            </w:pPr>
            <w:r>
              <w:t xml:space="preserve">0.00</w:t>
            </w:r>
          </w:p>
        </w:tc>
        <w:tc>
          <w:tcPr>
            <w:vAlign w:val="center"/>
          </w:tcPr>
          <w:p>
            <w:pPr>
              <w:pStyle w:val="MDPI42tablebody"/>
              <w:jc w:val="center"/>
            </w:pPr>
            <m:oMath>
              <m:r>
                <m:t>4.61</m:t>
              </m:r>
              <m:r>
                <m:rPr>
                  <m:sty m:val="p"/>
                </m:rPr>
                <m:t>±</m:t>
              </m:r>
              <m:r>
                <m:t>0.93</m:t>
              </m:r>
            </m:oMath>
            <w:r>
              <w:t xml:space="preserve">​</w:t>
            </w:r>
          </w:p>
        </w:tc>
        <w:tc>
          <w:tcPr>
            <w:vAlign w:val="center"/>
          </w:tcPr>
          <w:p>
            <w:pPr>
              <w:pStyle w:val="MDPI42tablebody"/>
              <w:jc w:val="center"/>
            </w:pPr>
            <m:oMath>
              <m:r>
                <m:t>4.05</m:t>
              </m:r>
              <m:r>
                <m:rPr>
                  <m:sty m:val="p"/>
                </m:rPr>
                <m:t>±</m:t>
              </m:r>
              <m:r>
                <m:t>0.99</m:t>
              </m:r>
            </m:oMath>
            <w:r>
              <w:t xml:space="preserve">​</w:t>
            </w:r>
          </w:p>
        </w:tc>
        <w:tc>
          <w:tcPr>
            <w:vAlign w:val="center"/>
          </w:tcPr>
          <w:p>
            <w:pPr>
              <w:pStyle w:val="MDPI42tablebody"/>
              <w:jc w:val="center"/>
            </w:pPr>
            <m:oMath>
              <m:r>
                <m:rPr>
                  <m:sty m:val="p"/>
                </m:rPr>
                <m:t>+</m:t>
              </m:r>
              <m:r>
                <m:t>0.56</m:t>
              </m:r>
            </m:oMath>
            <w:r>
              <w:t xml:space="preserve">​</w:t>
            </w:r>
          </w:p>
        </w:tc>
      </w:tr>
      <w:tr>
        <w:tc>
          <w:tcPr>
            <w:vAlign w:val="center"/>
          </w:tcPr>
          <w:p>
            <w:pPr>
              <w:pStyle w:val="MDPI42tablebody"/>
              <w:jc w:val="center"/>
            </w:pPr>
            <w:r>
              <w:t xml:space="preserve">0.20</w:t>
            </w:r>
          </w:p>
        </w:tc>
        <w:tc>
          <w:tcPr>
            <w:vAlign w:val="center"/>
          </w:tcPr>
          <w:p>
            <w:pPr>
              <w:pStyle w:val="MDPI42tablebody"/>
              <w:jc w:val="center"/>
            </w:pPr>
            <w:r>
              <w:t xml:space="preserve">12.15</w:t>
            </w:r>
          </w:p>
        </w:tc>
        <w:tc>
          <w:tcPr>
            <w:vAlign w:val="center"/>
          </w:tcPr>
          <w:p>
            <w:pPr>
              <w:pStyle w:val="MDPI42tablebody"/>
              <w:jc w:val="center"/>
            </w:pPr>
            <w:r>
              <w:t xml:space="preserve">0.00</w:t>
            </w:r>
          </w:p>
        </w:tc>
        <w:tc>
          <w:tcPr>
            <w:vAlign w:val="center"/>
          </w:tcPr>
          <w:p>
            <w:pPr>
              <w:pStyle w:val="MDPI42tablebody"/>
              <w:jc w:val="center"/>
            </w:pPr>
            <m:oMath>
              <m:r>
                <m:t>2.43</m:t>
              </m:r>
              <m:r>
                <m:rPr>
                  <m:sty m:val="p"/>
                </m:rPr>
                <m:t>±</m:t>
              </m:r>
              <m:r>
                <m:t>2.49</m:t>
              </m:r>
            </m:oMath>
            <w:r>
              <w:t xml:space="preserve">​</w:t>
            </w:r>
          </w:p>
        </w:tc>
        <w:tc>
          <w:tcPr>
            <w:vAlign w:val="center"/>
          </w:tcPr>
          <w:p>
            <w:pPr>
              <w:pStyle w:val="MDPI42tablebody"/>
              <w:jc w:val="center"/>
            </w:pPr>
            <m:oMath>
              <m:r>
                <m:t>1.34</m:t>
              </m:r>
              <m:r>
                <m:rPr>
                  <m:sty m:val="p"/>
                </m:rPr>
                <m:t>±</m:t>
              </m:r>
              <m:r>
                <m:t>3.05</m:t>
              </m:r>
            </m:oMath>
            <w:r>
              <w:t xml:space="preserve">​</w:t>
            </w:r>
          </w:p>
        </w:tc>
        <w:tc>
          <w:tcPr>
            <w:vAlign w:val="center"/>
          </w:tcPr>
          <w:p>
            <w:pPr>
              <w:pStyle w:val="MDPI42tablebody"/>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MDPI41threeline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vAlign w:val="center"/>
          </w:tcPr>
          <w:p>
            <w:pPr>
              <w:pStyle w:val="MDPI42tablebody"/>
              <w:jc w:val="center"/>
            </w:pPr>
          </w:p>
        </w:tc>
        <w:tc>
          <w:tcPr>
            <w:gridSpan w:val="2"/>
            <w:vAlign w:val="center"/>
          </w:tcPr>
          <w:p>
            <w:pPr>
              <w:pStyle w:val="MDPI42tablebody"/>
              <w:jc w:val="center"/>
            </w:pPr>
            <w:r>
              <w:t xml:space="preserve">Original objective</w:t>
            </w:r>
          </w:p>
        </w:tc>
        <w:tc>
          <w:tcPr>
            <w:gridSpan w:val="2"/>
            <w:vAlign w:val="center"/>
          </w:tcPr>
          <w:p>
            <w:pPr>
              <w:pStyle w:val="MDPI42tablebody"/>
              <w:jc w:val="center"/>
            </w:pPr>
            <w:r>
              <w:t xml:space="preserve">Priced objective</w:t>
            </w:r>
          </w:p>
        </w:tc>
        <w:tc>
          <w:tcPr>
            <w:vAlign w:val="center"/>
          </w:tcPr>
          <w:p>
            <w:pPr>
              <w:pStyle w:val="MDPI42tablebody"/>
              <w:jc w:val="center"/>
            </w:pPr>
            <w:r>
              <w:t xml:space="preserve">Boiler</w:t>
            </w:r>
          </w:p>
        </w:tc>
      </w:tr>
      <w:tr>
        <w:tc>
          <w:tcPr>
            <w:vAlign w:val="center"/>
          </w:tcPr>
          <w:p>
            <w:pPr>
              <w:pStyle w:val="MDPI42tablebody"/>
              <w:jc w:val="center"/>
            </w:pPr>
            <w:r>
              <w:t>Library</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effect (priced)</w:t>
            </w:r>
          </w:p>
        </w:tc>
      </w:tr>
      <w:tr>
        <w:tc>
          <w:tcPr>
            <w:vAlign w:val="center"/>
          </w:tcPr>
          <w:p>
            <w:pPr>
              <w:pStyle w:val="MDPI42tablebody"/>
              <w:jc w:val="center"/>
            </w:pPr>
            <w:r>
              <w:rPr>
                <w:rStyle w:val="VerbatimChar"/>
              </w:rPr>
              <w:t xml:space="preserve">raw</w:t>
            </w:r>
          </w:p>
        </w:tc>
        <w:tc>
          <w:tcPr>
            <w:vAlign w:val="center"/>
          </w:tcPr>
          <w:p>
            <w:pPr>
              <w:pStyle w:val="MDPI42tablebody"/>
              <w:jc w:val="center"/>
            </w:pPr>
            <m:oMath>
              <m:r>
                <m:rPr>
                  <m:sty m:val="p"/>
                </m:rPr>
                <m:t>+</m:t>
              </m:r>
              <m:r>
                <m:t>3.20</m:t>
              </m:r>
            </m:oMath>
            <w:r>
              <w:t xml:space="preserve"> </w:t>
            </w:r>
            <w:r>
              <w:t xml:space="preserve">(76)</w:t>
            </w:r>
          </w:p>
        </w:tc>
        <w:tc>
          <w:tcPr>
            <w:vAlign w:val="center"/>
          </w:tcPr>
          <w:p>
            <w:pPr>
              <w:pStyle w:val="MDPI42tablebody"/>
              <w:jc w:val="center"/>
            </w:pPr>
            <m:oMath>
              <m:r>
                <m:rPr>
                  <m:sty m:val="p"/>
                </m:rPr>
                <m:t>+</m:t>
              </m:r>
              <m:r>
                <m:t>4.43</m:t>
              </m:r>
            </m:oMath>
            <w:r>
              <w:t xml:space="preserve"> </w:t>
            </w:r>
            <w:r>
              <w:t xml:space="preserve">(84)</w:t>
            </w:r>
          </w:p>
        </w:tc>
        <w:tc>
          <w:tcPr>
            <w:vAlign w:val="center"/>
          </w:tcPr>
          <w:p>
            <w:pPr>
              <w:pStyle w:val="MDPI42tablebody"/>
              <w:jc w:val="center"/>
            </w:pPr>
            <m:oMath>
              <m:r>
                <m:rPr>
                  <m:sty m:val="p"/>
                </m:rPr>
                <m:t>+</m:t>
              </m:r>
              <m:r>
                <m:t>3.48</m:t>
              </m:r>
            </m:oMath>
            <w:r>
              <w:t xml:space="preserve"> </w:t>
            </w:r>
            <w:r>
              <w:t xml:space="preserve">(76)</w:t>
            </w:r>
          </w:p>
        </w:tc>
        <w:tc>
          <w:tcPr>
            <w:vAlign w:val="center"/>
          </w:tcPr>
          <w:p>
            <w:pPr>
              <w:pStyle w:val="MDPI42tablebody"/>
              <w:jc w:val="center"/>
            </w:pPr>
            <m:oMath>
              <m:r>
                <m:rPr>
                  <m:sty m:val="b"/>
                </m:rPr>
                <m:t>+</m:t>
              </m:r>
              <m:r>
                <m:rPr>
                  <m:sty m:val="b"/>
                </m:rPr>
                <m:t>4.61</m:t>
              </m:r>
            </m:oMath>
            <w:r>
              <w:t xml:space="preserve"> </w:t>
            </w:r>
            <w:r>
              <w:t xml:space="preserve">(84)</w:t>
            </w:r>
          </w:p>
        </w:tc>
        <w:tc>
          <w:tcPr>
            <w:vAlign w:val="center"/>
          </w:tcPr>
          <w:p>
            <w:pPr>
              <w:pStyle w:val="MDPI42tablebody"/>
              <w:jc w:val="center"/>
            </w:pPr>
            <m:oMath>
              <m:r>
                <m:rPr>
                  <m:sty m:val="p"/>
                </m:rPr>
                <m:t>+</m:t>
              </m:r>
              <m:r>
                <m:t>1.13</m:t>
              </m:r>
            </m:oMath>
            <w:r>
              <w:t xml:space="preserve"> </w:t>
            </w:r>
            <w:r>
              <w:t xml:space="preserve">(n.s.)</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rPr>
                  <m:sty m:val="p"/>
                </m:rPr>
                <m:t>−</m:t>
              </m:r>
              <m:r>
                <m:t>1.42</m:t>
              </m:r>
            </m:oMath>
            <w:r>
              <w:t xml:space="preserve"> </w:t>
            </w:r>
            <w:r>
              <w:t xml:space="preserve">(88)</w:t>
            </w:r>
          </w:p>
        </w:tc>
        <w:tc>
          <w:tcPr>
            <w:vAlign w:val="center"/>
          </w:tcPr>
          <w:p>
            <w:pPr>
              <w:pStyle w:val="MDPI42tablebody"/>
              <w:jc w:val="center"/>
            </w:pPr>
            <m:oMath>
              <m:r>
                <m:rPr>
                  <m:sty m:val="p"/>
                </m:rPr>
                <m:t>+</m:t>
              </m:r>
              <m:r>
                <m:t>0.15</m:t>
              </m:r>
            </m:oMath>
            <w:r>
              <w:t xml:space="preserve"> </w:t>
            </w:r>
            <w:r>
              <w:t xml:space="preserve">(312)</w:t>
            </w:r>
          </w:p>
        </w:tc>
        <w:tc>
          <w:tcPr>
            <w:vAlign w:val="center"/>
          </w:tcPr>
          <w:p>
            <w:pPr>
              <w:pStyle w:val="MDPI42tablebody"/>
              <w:jc w:val="center"/>
            </w:pPr>
            <m:oMath>
              <m:r>
                <m:rPr>
                  <m:sty m:val="p"/>
                </m:rPr>
                <m:t>+</m:t>
              </m:r>
              <m:r>
                <m:t>0.02</m:t>
              </m:r>
            </m:oMath>
            <w:r>
              <w:t xml:space="preserve"> </w:t>
            </w:r>
            <w:r>
              <w:t xml:space="preserve">(80)</w:t>
            </w:r>
          </w:p>
        </w:tc>
        <w:tc>
          <w:tcPr>
            <w:vAlign w:val="center"/>
          </w:tcPr>
          <w:p>
            <w:pPr>
              <w:pStyle w:val="MDPI42tablebody"/>
              <w:jc w:val="center"/>
            </w:pPr>
            <m:oMath>
              <m:r>
                <m:rPr>
                  <m:sty m:val="p"/>
                </m:rPr>
                <m:t>+</m:t>
              </m:r>
              <m:r>
                <m:t>2.36</m:t>
              </m:r>
            </m:oMath>
            <w:r>
              <w:t xml:space="preserve"> </w:t>
            </w:r>
            <w:r>
              <w:t xml:space="preserve">(320)</w:t>
            </w:r>
          </w:p>
        </w:tc>
        <w:tc>
          <w:tcPr>
            <w:vAlign w:val="center"/>
          </w:tcPr>
          <w:p>
            <w:pPr>
              <w:pStyle w:val="MDPI42tablebody"/>
              <w:jc w:val="center"/>
            </w:pPr>
            <m:oMath>
              <m:r>
                <m:rPr>
                  <m:sty m:val="b"/>
                </m:rPr>
                <m:t>+</m:t>
              </m:r>
              <m:r>
                <m:rPr>
                  <m:sty m:val="b"/>
                </m:rPr>
                <m:t>2.34</m:t>
              </m:r>
            </m:oMath>
            <w:r>
              <w:t xml:space="preserve">​</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2.74</m:t>
              </m:r>
            </m:oMath>
            <w:r>
              <w:t xml:space="preserve"> </w:t>
            </w:r>
            <w:r>
              <w:t xml:space="preserve">(72)</w:t>
            </w:r>
          </w:p>
        </w:tc>
        <w:tc>
          <w:tcPr>
            <w:vAlign w:val="center"/>
          </w:tcPr>
          <w:p>
            <w:pPr>
              <w:pStyle w:val="MDPI42tablebody"/>
              <w:jc w:val="center"/>
            </w:pPr>
            <m:oMath>
              <m:r>
                <m:rPr>
                  <m:sty m:val="p"/>
                </m:rPr>
                <m:t>+</m:t>
              </m:r>
              <m:r>
                <m:t>2.52</m:t>
              </m:r>
            </m:oMath>
            <w:r>
              <w:t xml:space="preserve"> </w:t>
            </w:r>
            <w:r>
              <w:t xml:space="preserve">(88)</w:t>
            </w:r>
          </w:p>
        </w:tc>
        <w:tc>
          <w:tcPr>
            <w:vAlign w:val="center"/>
          </w:tcPr>
          <w:p>
            <w:pPr>
              <w:pStyle w:val="MDPI42tablebody"/>
              <w:jc w:val="center"/>
            </w:pPr>
            <m:oMath>
              <m:r>
                <m:rPr>
                  <m:sty m:val="p"/>
                </m:rPr>
                <m:t>−</m:t>
              </m:r>
              <m:r>
                <m:t>0.22</m:t>
              </m:r>
            </m:oMath>
            <w:r>
              <w:t xml:space="preserve"> </w:t>
            </w:r>
            <w:r>
              <w:t xml:space="preserve">(n.s.)</w:t>
            </w:r>
          </w:p>
        </w:tc>
      </w:tr>
      <w:tr>
        <w:tc>
          <w:tcPr>
            <w:vAlign w:val="center"/>
          </w:tcPr>
          <w:p>
            <w:pPr>
              <w:pStyle w:val="MDPI42tablebody"/>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jc w:val="center"/>
            </w:pPr>
            <m:oMath>
              <m:r>
                <m:rPr>
                  <m:sty m:val="p"/>
                </m:rPr>
                <m:t>+</m:t>
              </m:r>
              <m:r>
                <m:t>4.62</m:t>
              </m:r>
            </m:oMath>
            <w:r>
              <w:t xml:space="preserve">​</w:t>
            </w:r>
          </w:p>
        </w:tc>
        <w:tc>
          <w:tcPr>
            <w:vAlign w:val="center"/>
          </w:tcPr>
          <w:p>
            <w:pPr>
              <w:pStyle w:val="MDPI42tablebody"/>
              <w:jc w:val="center"/>
            </w:pPr>
            <m:oMath>
              <m:r>
                <m:rPr>
                  <m:sty m:val="p"/>
                </m:rPr>
                <m:t>+</m:t>
              </m:r>
              <m:r>
                <m:t>4.28</m:t>
              </m:r>
            </m:oMath>
            <w:r>
              <w:t xml:space="preserve">​</w:t>
            </w:r>
          </w:p>
        </w:tc>
        <w:tc>
          <w:tcPr>
            <w:vAlign w:val="center"/>
          </w:tcPr>
          <w:p>
            <w:pPr>
              <w:pStyle w:val="MDPI42tablebody"/>
              <w:jc w:val="center"/>
            </w:pPr>
            <m:oMath>
              <m:r>
                <m:rPr>
                  <m:sty m:val="p"/>
                </m:rPr>
                <m:t>+</m:t>
              </m:r>
              <m:r>
                <m:t>3.46</m:t>
              </m:r>
            </m:oMath>
            <w:r>
              <w:t xml:space="preserve">​</w:t>
            </w:r>
          </w:p>
        </w:tc>
        <w:tc>
          <w:tcPr>
            <w:vAlign w:val="center"/>
          </w:tcPr>
          <w:p>
            <w:pPr>
              <w:pStyle w:val="MDPI42tablebody"/>
              <w:jc w:val="center"/>
            </w:pPr>
            <m:oMath>
              <m:r>
                <m:rPr>
                  <m:sty m:val="p"/>
                </m:rPr>
                <m:t>+</m:t>
              </m:r>
              <m:r>
                <m:t>2.25</m:t>
              </m:r>
            </m:oMath>
            <w:r>
              <w:t xml:space="preserve">​</w:t>
            </w:r>
          </w:p>
        </w:tc>
        <w:tc>
          <w:tcPr>
            <w:vAlign w:val="center"/>
          </w:tcPr>
          <w:p>
            <w:pPr>
              <w:pStyle w:val="MDPI42tablebody"/>
              <w:jc w:val="center"/>
            </w:pPr>
          </w:p>
        </w:tc>
      </w:tr>
      <w:tr>
        <w:tc>
          <w:tcPr>
            <w:vAlign w:val="center"/>
          </w:tcPr>
          <w:p>
            <w:pPr>
              <w:pStyle w:val="MDPI42tablebody"/>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0.75</m:t>
              </m:r>
            </m:oMath>
            <w:r>
              <w:t xml:space="preserve">​</w:t>
            </w:r>
          </w:p>
        </w:tc>
        <w:tc>
          <w:tcPr>
            <w:vAlign w:val="center"/>
          </w:tcPr>
          <w:p>
            <w:pPr>
              <w:pStyle w:val="MDPI42tablebody"/>
              <w:jc w:val="center"/>
            </w:pPr>
            <m:oMath>
              <m:r>
                <m:rPr>
                  <m:sty m:val="p"/>
                </m:rPr>
                <m:t>+</m:t>
              </m:r>
              <m:r>
                <m:t>2.09</m:t>
              </m:r>
            </m:oMath>
            <w:r>
              <w:t xml:space="preserve">​</w:t>
            </w:r>
          </w:p>
        </w:tc>
        <w:tc>
          <w:tcPr>
            <w:vAlign w:val="center"/>
          </w:tcPr>
          <w:p>
            <w:pPr>
              <w:pStyle w:val="MDPI42tablebody"/>
              <w:jc w:val="center"/>
            </w:pPr>
          </w:p>
        </w:tc>
      </w:tr>
    </w:tbl>
    <w:bookmarkEnd w:id="58"/>
    <w:p>
      <w:pPr>
        <w:pStyle w:val="MDPI31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t xml:space="preserve">Model accuracy is not the binding constraint. 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price-aligned surrogate cost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MDPI31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MDPI31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[41]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 worse 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[44],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MDPI31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jc w:val="center"/>
            </w:pPr>
            <w:r>
              <w:t xml:space="preserve">Fault</w:t>
            </w:r>
          </w:p>
        </w:tc>
        <w:tc>
          <w:tcPr>
            <w:vAlign w:val="center"/>
          </w:tcPr>
          <w:p>
            <w:pPr>
              <w:pStyle w:val="MDPI42tablebody"/>
              <w:jc w:val="center"/>
            </w:pPr>
            <w:r>
              <w:t xml:space="preserve">No supervisor</w:t>
            </w:r>
          </w:p>
        </w:tc>
        <w:tc>
          <w:tcPr>
            <w:vAlign w:val="center"/>
          </w:tcPr>
          <w:p>
            <w:pPr>
              <w:pStyle w:val="MDPI42tablebody"/>
              <w:jc w:val="center"/>
            </w:pPr>
            <w:r>
              <w:t xml:space="preserve">Supervised</w:t>
            </w:r>
          </w:p>
        </w:tc>
        <w:tc>
          <w:tcPr>
            <w:vAlign w:val="center"/>
          </w:tcPr>
          <w:p>
            <w:pPr>
              <w:pStyle w:val="MDPI42tablebody"/>
              <w:jc w:val="center"/>
            </w:pPr>
            <m:oMath>
              <m:r>
                <m:rPr>
                  <m:sty m:val="p"/>
                </m:rPr>
                <m:t>Δ</m:t>
              </m:r>
            </m:oMath>
            <w:r>
              <w:t xml:space="preserve">​</w:t>
            </w:r>
          </w:p>
        </w:tc>
        <w:tc>
          <w:tcPr>
            <w:vAlign w:val="center"/>
          </w:tcPr>
          <w:p>
            <w:pPr>
              <w:pStyle w:val="MDPI42tablebody"/>
              <w:jc w:val="center"/>
            </w:pPr>
            <w:r>
              <w:t xml:space="preserve">Wins</w:t>
            </w:r>
          </w:p>
        </w:tc>
        <w:tc>
          <w:tcPr>
            <w:vAlign w:val="center"/>
          </w:tcPr>
          <w:p>
            <w:pPr>
              <w:pStyle w:val="MDPI42tablebody"/>
              <w:jc w:val="center"/>
            </w:pPr>
            <w:r>
              <w:t xml:space="preserve">vs. fault-free</w:t>
            </w:r>
          </w:p>
        </w:tc>
      </w:tr>
      <w:tr>
        <w:tc>
          <w:tcPr>
            <w:vAlign w:val="center"/>
          </w:tcPr>
          <w:p>
            <w:pPr>
              <w:pStyle w:val="MDPI42tablebody"/>
              <w:jc w:val="center"/>
            </w:pPr>
            <w:r>
              <w:rPr>
                <w:rStyle w:val="VerbatimChar"/>
              </w:rPr>
              <w:t xml:space="preserve">uVent_dead</w:t>
            </w:r>
          </w:p>
        </w:tc>
        <w:tc>
          <w:tcPr>
            <w:vAlign w:val="center"/>
          </w:tcPr>
          <w:p>
            <w:pPr>
              <w:pStyle w:val="MDPI42tablebody"/>
              <w:jc w:val="center"/>
            </w:pPr>
            <m:oMath>
              <m:r>
                <m:rPr>
                  <m:sty m:val="p"/>
                </m:rPr>
                <m:t>−</m:t>
              </m:r>
              <m:r>
                <m:t>18.19</m:t>
              </m:r>
            </m:oMath>
            <w:r>
              <w:t xml:space="preserve"> </w:t>
            </w:r>
            <w:r>
              <w:t xml:space="preserve">(5.48)</w:t>
            </w:r>
          </w:p>
        </w:tc>
        <w:tc>
          <w:tcPr>
            <w:vAlign w:val="center"/>
          </w:tcPr>
          <w:p>
            <w:pPr>
              <w:pStyle w:val="MDPI42tablebody"/>
              <w:jc w:val="center"/>
            </w:pPr>
            <m:oMath>
              <m:r>
                <m:rPr>
                  <m:sty m:val="p"/>
                </m:rPr>
                <m:t>+</m:t>
              </m:r>
              <m:r>
                <m:t>0.10</m:t>
              </m:r>
            </m:oMath>
            <w:r>
              <w:t xml:space="preserve"> </w:t>
            </w:r>
            <w:r>
              <w:t xml:space="preserve">(0.30)</w:t>
            </w:r>
          </w:p>
        </w:tc>
        <w:tc>
          <w:tcPr>
            <w:vAlign w:val="center"/>
          </w:tcPr>
          <w:p>
            <w:pPr>
              <w:pStyle w:val="MDPI42tablebody"/>
              <w:jc w:val="center"/>
            </w:pPr>
            <m:oMath>
              <m:r>
                <m:rPr>
                  <m:sty m:val="p"/>
                </m:rPr>
                <m:t>+</m:t>
              </m:r>
              <m:r>
                <m:t>18.28</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3.53</m:t>
              </m:r>
            </m:oMath>
            <w:r>
              <w:t xml:space="preserve">​</w:t>
            </w:r>
          </w:p>
        </w:tc>
      </w:tr>
      <w:tr>
        <w:tc>
          <w:tcPr>
            <w:vAlign w:val="center"/>
          </w:tcPr>
          <w:p>
            <w:pPr>
              <w:pStyle w:val="MDPI42tablebody"/>
              <w:jc w:val="center"/>
            </w:pPr>
            <w:r>
              <w:rPr>
                <w:rStyle w:val="VerbatimChar"/>
              </w:rPr>
              <w:t xml:space="preserve">uBoil_stuck</w:t>
            </w:r>
          </w:p>
        </w:tc>
        <w:tc>
          <w:tcPr>
            <w:vAlign w:val="center"/>
          </w:tcPr>
          <w:p>
            <w:pPr>
              <w:pStyle w:val="MDPI42tablebody"/>
              <w:jc w:val="center"/>
            </w:pPr>
            <m:oMath>
              <m:r>
                <m:rPr>
                  <m:sty m:val="p"/>
                </m:rPr>
                <m:t>−</m:t>
              </m:r>
              <m:r>
                <m:t>8.41</m:t>
              </m:r>
            </m:oMath>
            <w:r>
              <w:t xml:space="preserve"> </w:t>
            </w:r>
            <w:r>
              <w:t xml:space="preserve">(5.35)</w:t>
            </w:r>
          </w:p>
        </w:tc>
        <w:tc>
          <w:tcPr>
            <w:vAlign w:val="center"/>
          </w:tcPr>
          <w:p>
            <w:pPr>
              <w:pStyle w:val="MDPI42tablebody"/>
              <w:jc w:val="center"/>
            </w:pPr>
            <m:oMath>
              <m:r>
                <m:rPr>
                  <m:sty m:val="p"/>
                </m:rPr>
                <m:t>−</m:t>
              </m:r>
              <m:r>
                <m:t>3.88</m:t>
              </m:r>
            </m:oMath>
            <w:r>
              <w:t xml:space="preserve"> </w:t>
            </w:r>
            <w:r>
              <w:t xml:space="preserve">(0.29)</w:t>
            </w:r>
          </w:p>
        </w:tc>
        <w:tc>
          <w:tcPr>
            <w:vAlign w:val="center"/>
          </w:tcPr>
          <w:p>
            <w:pPr>
              <w:pStyle w:val="MDPI42tablebody"/>
              <w:jc w:val="center"/>
            </w:pPr>
            <m:oMath>
              <m:r>
                <m:rPr>
                  <m:sty m:val="p"/>
                </m:rPr>
                <m:t>+</m:t>
              </m:r>
              <m:r>
                <m:t>4.53</m:t>
              </m:r>
            </m:oMath>
            <w:r>
              <w:t xml:space="preserve">​</w:t>
            </w:r>
          </w:p>
        </w:tc>
        <w:tc>
          <w:tcPr>
            <w:vAlign w:val="center"/>
          </w:tcPr>
          <w:p>
            <w:pPr>
              <w:pStyle w:val="MDPI42tablebody"/>
              <w:jc w:val="center"/>
            </w:pPr>
            <w:r>
              <w:t xml:space="preserve">16/20</w:t>
            </w:r>
          </w:p>
        </w:tc>
        <w:tc>
          <w:tcPr>
            <w:vAlign w:val="center"/>
          </w:tcPr>
          <w:p>
            <w:pPr>
              <w:pStyle w:val="MDPI42tablebody"/>
              <w:jc w:val="center"/>
            </w:pPr>
            <m:oMath>
              <m:r>
                <m:rPr>
                  <m:sty m:val="p"/>
                </m:rPr>
                <m:t>−</m:t>
              </m:r>
              <m:r>
                <m:t>7.50</m:t>
              </m:r>
            </m:oMath>
            <w:r>
              <w:t xml:space="preserve">​</w:t>
            </w:r>
          </w:p>
        </w:tc>
      </w:tr>
      <w:tr>
        <w:tc>
          <w:tcPr>
            <w:vAlign w:val="center"/>
          </w:tcPr>
          <w:p>
            <w:pPr>
              <w:pStyle w:val="MDPI42tablebody"/>
              <w:jc w:val="center"/>
            </w:pPr>
            <w:r>
              <w:rPr>
                <w:rStyle w:val="VerbatimChar"/>
              </w:rPr>
              <w:t xml:space="preserve">rh_offset</w:t>
            </w:r>
          </w:p>
        </w:tc>
        <w:tc>
          <w:tcPr>
            <w:vAlign w:val="center"/>
          </w:tcPr>
          <w:p>
            <w:pPr>
              <w:pStyle w:val="MDPI42tablebody"/>
              <w:jc w:val="center"/>
            </w:pPr>
            <m:oMath>
              <m:r>
                <m:rPr>
                  <m:sty m:val="p"/>
                </m:rPr>
                <m:t>+</m:t>
              </m:r>
              <m:r>
                <m:t>1.27</m:t>
              </m:r>
            </m:oMath>
            <w:r>
              <w:t xml:space="preserve"> </w:t>
            </w:r>
            <w:r>
              <w:t xml:space="preserve">(3.72)</w:t>
            </w:r>
          </w:p>
        </w:tc>
        <w:tc>
          <w:tcPr>
            <w:vAlign w:val="center"/>
          </w:tcPr>
          <w:p>
            <w:pPr>
              <w:pStyle w:val="MDPI42tablebody"/>
              <w:jc w:val="center"/>
            </w:pPr>
            <m:oMath>
              <m:r>
                <m:rPr>
                  <m:sty m:val="p"/>
                </m:rPr>
                <m:t>+</m:t>
              </m:r>
              <m:r>
                <m:t>4.45</m:t>
              </m:r>
            </m:oMath>
            <w:r>
              <w:t xml:space="preserve"> </w:t>
            </w:r>
            <w:r>
              <w:t xml:space="preserve">(0.36)</w:t>
            </w:r>
          </w:p>
        </w:tc>
        <w:tc>
          <w:tcPr>
            <w:vAlign w:val="center"/>
          </w:tcPr>
          <w:p>
            <w:pPr>
              <w:pStyle w:val="MDPI42tablebody"/>
              <w:jc w:val="center"/>
            </w:pPr>
            <m:oMath>
              <m:r>
                <m:rPr>
                  <m:sty m:val="p"/>
                </m:rPr>
                <m:t>+</m:t>
              </m:r>
              <m:r>
                <m:t>3.19</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0.83</m:t>
              </m:r>
            </m:oMath>
            <w:r>
              <w:t xml:space="preserve">​</w:t>
            </w:r>
          </w:p>
        </w:tc>
      </w:tr>
      <w:tr>
        <w:tc>
          <w:tcPr>
            <w:vAlign w:val="center"/>
          </w:tcPr>
          <w:p>
            <w:pPr>
              <w:pStyle w:val="MDPI42tablebody"/>
              <w:jc w:val="center"/>
            </w:pPr>
            <w:r>
              <w:rPr>
                <w:rStyle w:val="VerbatimChar"/>
              </w:rPr>
              <w:t xml:space="preserve">uLamp_dead</w:t>
            </w:r>
          </w:p>
        </w:tc>
        <w:tc>
          <w:tcPr>
            <w:vAlign w:val="center"/>
          </w:tcPr>
          <w:p>
            <w:pPr>
              <w:pStyle w:val="MDPI42tablebody"/>
              <w:jc w:val="center"/>
            </w:pPr>
            <m:oMath>
              <m:r>
                <m:rPr>
                  <m:sty m:val="p"/>
                </m:rPr>
                <m:t>+</m:t>
              </m:r>
              <m:r>
                <m:t>3.50</m:t>
              </m:r>
            </m:oMath>
            <w:r>
              <w:t xml:space="preserve"> </w:t>
            </w:r>
            <w:r>
              <w:t xml:space="preserve">(1.64)</w:t>
            </w:r>
          </w:p>
        </w:tc>
        <w:tc>
          <w:tcPr>
            <w:vAlign w:val="center"/>
          </w:tcPr>
          <w:p>
            <w:pPr>
              <w:pStyle w:val="MDPI42tablebody"/>
              <w:jc w:val="center"/>
            </w:pPr>
            <m:oMath>
              <m:r>
                <m:rPr>
                  <m:sty m:val="p"/>
                </m:rPr>
                <m:t>+</m:t>
              </m:r>
              <m:r>
                <m:t>6.33</m:t>
              </m:r>
            </m:oMath>
            <w:r>
              <w:t xml:space="preserve"> </w:t>
            </w:r>
            <w:r>
              <w:t xml:space="preserve">(0.29)</w:t>
            </w:r>
          </w:p>
        </w:tc>
        <w:tc>
          <w:tcPr>
            <w:vAlign w:val="center"/>
          </w:tcPr>
          <w:p>
            <w:pPr>
              <w:pStyle w:val="MDPI42tablebody"/>
              <w:jc w:val="center"/>
            </w:pPr>
            <m:oMath>
              <m:r>
                <m:rPr>
                  <m:sty m:val="p"/>
                </m:rPr>
                <m:t>+</m:t>
              </m:r>
              <m:r>
                <m:t>2.82</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2.70</m:t>
              </m:r>
            </m:oMath>
            <w:r>
              <w:t xml:space="preserve">​</w:t>
            </w:r>
          </w:p>
        </w:tc>
      </w:tr>
      <w:tr>
        <w:tc>
          <w:tcPr>
            <w:vAlign w:val="center"/>
          </w:tcPr>
          <w:p>
            <w:pPr>
              <w:pStyle w:val="MDPI42tablebody"/>
              <w:jc w:val="center"/>
            </w:pPr>
            <w:r>
              <w:rPr>
                <w:rStyle w:val="VerbatimChar"/>
              </w:rPr>
              <w:t xml:space="preserve">t_in_stuck</w:t>
            </w:r>
          </w:p>
        </w:tc>
        <w:tc>
          <w:tcPr>
            <w:vAlign w:val="center"/>
          </w:tcPr>
          <w:p>
            <w:pPr>
              <w:pStyle w:val="MDPI42tablebody"/>
              <w:jc w:val="center"/>
            </w:pPr>
            <m:oMath>
              <m:r>
                <m:rPr>
                  <m:sty m:val="p"/>
                </m:rPr>
                <m:t>+</m:t>
              </m:r>
              <m:r>
                <m:t>3.06</m:t>
              </m:r>
            </m:oMath>
            <w:r>
              <w:t xml:space="preserve"> </w:t>
            </w:r>
            <w:r>
              <w:t xml:space="preserve">(1.18)</w:t>
            </w:r>
          </w:p>
        </w:tc>
        <w:tc>
          <w:tcPr>
            <w:vAlign w:val="center"/>
          </w:tcPr>
          <w:p>
            <w:pPr>
              <w:pStyle w:val="MDPI42tablebody"/>
              <w:jc w:val="center"/>
            </w:pPr>
            <m:oMath>
              <m:r>
                <m:rPr>
                  <m:sty m:val="p"/>
                </m:rPr>
                <m:t>+</m:t>
              </m:r>
              <m:r>
                <m:t>4.42</m:t>
              </m:r>
            </m:oMath>
            <w:r>
              <w:t xml:space="preserve"> </w:t>
            </w:r>
            <w:r>
              <w:t xml:space="preserve">(0.29)</w:t>
            </w:r>
          </w:p>
        </w:tc>
        <w:tc>
          <w:tcPr>
            <w:vAlign w:val="center"/>
          </w:tcPr>
          <w:p>
            <w:pPr>
              <w:pStyle w:val="MDPI42tablebody"/>
              <w:jc w:val="center"/>
            </w:pPr>
            <m:oMath>
              <m:r>
                <m:rPr>
                  <m:sty m:val="p"/>
                </m:rPr>
                <m:t>+</m:t>
              </m:r>
              <m:r>
                <m:t>1.36</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0.79</m:t>
              </m:r>
            </m:oMath>
            <w:r>
              <w:t xml:space="preserve">​</w:t>
            </w:r>
          </w:p>
        </w:tc>
      </w:tr>
      <w:tr>
        <w:tc>
          <w:tcPr>
            <w:vAlign w:val="center"/>
          </w:tcPr>
          <w:p>
            <w:pPr>
              <w:pStyle w:val="MDPI42tablebody"/>
              <w:jc w:val="center"/>
            </w:pPr>
            <w:r>
              <w:rPr>
                <w:rStyle w:val="VerbatimChar"/>
              </w:rPr>
              <w:t xml:space="preserve">t_in_offset</w:t>
            </w:r>
          </w:p>
        </w:tc>
        <w:tc>
          <w:tcPr>
            <w:vAlign w:val="center"/>
          </w:tcPr>
          <w:p>
            <w:pPr>
              <w:pStyle w:val="MDPI42tablebody"/>
              <w:jc w:val="center"/>
            </w:pPr>
            <m:oMath>
              <m:r>
                <m:rPr>
                  <m:sty m:val="p"/>
                </m:rPr>
                <m:t>+</m:t>
              </m:r>
              <m:r>
                <m:t>3.67</m:t>
              </m:r>
            </m:oMath>
            <w:r>
              <w:t xml:space="preserve"> </w:t>
            </w:r>
            <w:r>
              <w:t xml:space="preserve">(1.16)</w:t>
            </w:r>
          </w:p>
        </w:tc>
        <w:tc>
          <w:tcPr>
            <w:vAlign w:val="center"/>
          </w:tcPr>
          <w:p>
            <w:pPr>
              <w:pStyle w:val="MDPI42tablebody"/>
              <w:jc w:val="center"/>
            </w:pPr>
            <m:oMath>
              <m:r>
                <m:rPr>
                  <m:sty m:val="p"/>
                </m:rPr>
                <m:t>+</m:t>
              </m:r>
              <m:r>
                <m:t>4.47</m:t>
              </m:r>
            </m:oMath>
            <w:r>
              <w:t xml:space="preserve"> </w:t>
            </w:r>
            <w:r>
              <w:t xml:space="preserve">(0.39)</w:t>
            </w:r>
          </w:p>
        </w:tc>
        <w:tc>
          <w:tcPr>
            <w:vAlign w:val="center"/>
          </w:tcPr>
          <w:p>
            <w:pPr>
              <w:pStyle w:val="MDPI42tablebody"/>
              <w:jc w:val="center"/>
            </w:pPr>
            <m:oMath>
              <m:r>
                <m:rPr>
                  <m:sty m:val="p"/>
                </m:rPr>
                <m:t>+</m:t>
              </m:r>
              <m:r>
                <m:t>0.80</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 all 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jc w:val="center"/>
            </w:pPr>
            <w:r>
              <w:t xml:space="preserve">Perturbation</w:t>
            </w:r>
          </w:p>
        </w:tc>
        <w:tc>
          <w:tcPr>
            <w:vAlign w:val="center"/>
          </w:tcPr>
          <w:p>
            <w:pPr>
              <w:pStyle w:val="MDPI42tablebody"/>
              <w:jc w:val="center"/>
            </w:pPr>
            <w:r>
              <w:t xml:space="preserve">Mean</w:t>
            </w:r>
          </w:p>
        </w:tc>
        <w:tc>
          <w:tcPr>
            <w:vAlign w:val="center"/>
          </w:tcPr>
          <w:p>
            <w:pPr>
              <w:pStyle w:val="MDPI42tablebody"/>
              <w:jc w:val="center"/>
            </w:pPr>
            <w:r>
              <w:t xml:space="preserve">SD</w:t>
            </w:r>
          </w:p>
        </w:tc>
        <w:tc>
          <w:tcPr>
            <w:vAlign w:val="center"/>
          </w:tcPr>
          <w:p>
            <w:pPr>
              <w:pStyle w:val="MDPI42tablebody"/>
              <w:jc w:val="center"/>
            </w:pPr>
            <w:r>
              <w:t xml:space="preserve">Median</w:t>
            </w:r>
          </w:p>
        </w:tc>
        <w:tc>
          <w:tcPr>
            <w:vAlign w:val="center"/>
          </w:tcPr>
          <w:p>
            <w:pPr>
              <w:pStyle w:val="MDPI42tablebody"/>
              <w:jc w:val="center"/>
            </w:pPr>
            <w:r>
              <w:t xml:space="preserve">Min</w:t>
            </w:r>
          </w:p>
        </w:tc>
        <w:tc>
          <w:tcPr>
            <w:vAlign w:val="center"/>
          </w:tcPr>
          <w:p>
            <w:pPr>
              <w:pStyle w:val="MDPI42tablebody"/>
              <w:jc w:val="center"/>
            </w:pPr>
            <w:r>
              <w:t xml:space="preserve">Early terminations</w:t>
            </w:r>
          </w:p>
        </w:tc>
      </w:tr>
      <w:tr>
        <w:tc>
          <w:tcPr>
            <w:vAlign w:val="center"/>
          </w:tcPr>
          <w:p>
            <w:pPr>
              <w:pStyle w:val="MDPI42tablebody"/>
              <w:jc w:val="center"/>
            </w:pPr>
            <w:r>
              <w:t xml:space="preserve">0.02</w:t>
            </w:r>
          </w:p>
        </w:tc>
        <w:tc>
          <w:tcPr>
            <w:vAlign w:val="center"/>
          </w:tcPr>
          <w:p>
            <w:pPr>
              <w:pStyle w:val="MDPI42tablebody"/>
              <w:jc w:val="center"/>
            </w:pPr>
            <m:oMath>
              <m:r>
                <m:rPr>
                  <m:sty m:val="p"/>
                </m:rPr>
                <m:t>+</m:t>
              </m:r>
              <m:r>
                <m:t>4.11</m:t>
              </m:r>
            </m:oMath>
            <w:r>
              <w:t xml:space="preserve">​</w:t>
            </w:r>
          </w:p>
        </w:tc>
        <w:tc>
          <w:tcPr>
            <w:vAlign w:val="center"/>
          </w:tcPr>
          <w:p>
            <w:pPr>
              <w:pStyle w:val="MDPI42tablebody"/>
              <w:jc w:val="center"/>
            </w:pPr>
            <w:r>
              <w:t xml:space="preserve">1.29</w:t>
            </w:r>
          </w:p>
        </w:tc>
        <w:tc>
          <w:tcPr>
            <w:vAlign w:val="center"/>
          </w:tcPr>
          <w:p>
            <w:pPr>
              <w:pStyle w:val="MDPI42tablebody"/>
              <w:jc w:val="center"/>
            </w:pPr>
            <m:oMath>
              <m:r>
                <m:rPr>
                  <m:sty m:val="p"/>
                </m:rPr>
                <m:t>+</m:t>
              </m:r>
              <m:r>
                <m:t>4.47</m:t>
              </m:r>
            </m:oMath>
            <w:r>
              <w:t xml:space="preserve">​</w:t>
            </w:r>
          </w:p>
        </w:tc>
        <w:tc>
          <w:tcPr>
            <w:vAlign w:val="center"/>
          </w:tcPr>
          <w:p>
            <w:pPr>
              <w:pStyle w:val="MDPI42tablebody"/>
              <w:jc w:val="center"/>
            </w:pPr>
            <m:oMath>
              <m:r>
                <m:rPr>
                  <m:sty m:val="p"/>
                </m:rPr>
                <m:t>+</m:t>
              </m:r>
              <m:r>
                <m:t>1.25</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0.05</w:t>
            </w:r>
          </w:p>
        </w:tc>
        <w:tc>
          <w:tcPr>
            <w:vAlign w:val="center"/>
          </w:tcPr>
          <w:p>
            <w:pPr>
              <w:pStyle w:val="MDPI42tablebody"/>
              <w:jc w:val="center"/>
            </w:pPr>
            <m:oMath>
              <m:r>
                <m:rPr>
                  <m:sty m:val="p"/>
                </m:rPr>
                <m:t>+</m:t>
              </m:r>
              <m:r>
                <m:t>4.03</m:t>
              </m:r>
            </m:oMath>
            <w:r>
              <w:t xml:space="preserve">​</w:t>
            </w:r>
          </w:p>
        </w:tc>
        <w:tc>
          <w:tcPr>
            <w:vAlign w:val="center"/>
          </w:tcPr>
          <w:p>
            <w:pPr>
              <w:pStyle w:val="MDPI42tablebody"/>
              <w:jc w:val="center"/>
            </w:pPr>
            <w:r>
              <w:t xml:space="preserve">2.06</w:t>
            </w:r>
          </w:p>
        </w:tc>
        <w:tc>
          <w:tcPr>
            <w:vAlign w:val="center"/>
          </w:tcPr>
          <w:p>
            <w:pPr>
              <w:pStyle w:val="MDPI42tablebody"/>
              <w:jc w:val="center"/>
            </w:pPr>
            <m:oMath>
              <m:r>
                <m:rPr>
                  <m:sty m:val="p"/>
                </m:rPr>
                <m:t>+</m:t>
              </m:r>
              <m:r>
                <m:t>4.35</m:t>
              </m:r>
            </m:oMath>
            <w:r>
              <w:t xml:space="preserve">​</w:t>
            </w:r>
          </w:p>
        </w:tc>
        <w:tc>
          <w:tcPr>
            <w:vAlign w:val="center"/>
          </w:tcPr>
          <w:p>
            <w:pPr>
              <w:pStyle w:val="MDPI42tablebody"/>
              <w:jc w:val="center"/>
            </w:pPr>
            <m:oMath>
              <m:r>
                <m:rPr>
                  <m:sty m:val="p"/>
                </m:rPr>
                <m:t>−</m:t>
              </m:r>
              <m:r>
                <m:t>1.19</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0.10</w:t>
            </w:r>
          </w:p>
        </w:tc>
        <w:tc>
          <w:tcPr>
            <w:vAlign w:val="center"/>
          </w:tcPr>
          <w:p>
            <w:pPr>
              <w:pStyle w:val="MDPI42tablebody"/>
              <w:jc w:val="center"/>
            </w:pPr>
            <m:oMath>
              <m:r>
                <m:rPr>
                  <m:sty m:val="p"/>
                </m:rPr>
                <m:t>+</m:t>
              </m:r>
              <m:r>
                <m:t>2.96</m:t>
              </m:r>
            </m:oMath>
            <w:r>
              <w:t xml:space="preserve">​</w:t>
            </w:r>
          </w:p>
        </w:tc>
        <w:tc>
          <w:tcPr>
            <w:vAlign w:val="center"/>
          </w:tcPr>
          <w:p>
            <w:pPr>
              <w:pStyle w:val="MDPI42tablebody"/>
              <w:jc w:val="center"/>
            </w:pPr>
            <w:r>
              <w:t xml:space="preserve">7.57</w:t>
            </w:r>
          </w:p>
        </w:tc>
        <w:tc>
          <w:tcPr>
            <w:vAlign w:val="center"/>
          </w:tcPr>
          <w:p>
            <w:pPr>
              <w:pStyle w:val="MDPI42tablebody"/>
              <w:jc w:val="center"/>
            </w:pPr>
            <m:oMath>
              <m:r>
                <m:rPr>
                  <m:sty m:val="p"/>
                </m:rPr>
                <m:t>+</m:t>
              </m:r>
              <m:r>
                <m:t>5.40</m:t>
              </m:r>
            </m:oMath>
            <w:r>
              <w:t xml:space="preserve">​</w:t>
            </w:r>
          </w:p>
        </w:tc>
        <w:tc>
          <w:tcPr>
            <w:vAlign w:val="center"/>
          </w:tcPr>
          <w:p>
            <w:pPr>
              <w:pStyle w:val="MDPI42tablebody"/>
              <w:jc w:val="center"/>
            </w:pPr>
            <m:oMath>
              <m:r>
                <m:rPr>
                  <m:sty m:val="p"/>
                </m:rPr>
                <m:t>−</m:t>
              </m:r>
              <m:r>
                <m:t>34.18</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0.15</w:t>
            </w:r>
          </w:p>
        </w:tc>
        <w:tc>
          <w:tcPr>
            <w:vAlign w:val="center"/>
          </w:tcPr>
          <w:p>
            <w:pPr>
              <w:pStyle w:val="MDPI42tablebody"/>
              <w:jc w:val="center"/>
            </w:pPr>
            <m:oMath>
              <m:r>
                <m:rPr>
                  <m:sty m:val="p"/>
                </m:rPr>
                <m:t>−</m:t>
              </m:r>
              <m:r>
                <m:t>3.86</m:t>
              </m:r>
            </m:oMath>
            <w:r>
              <w:t xml:space="preserve">​</w:t>
            </w:r>
          </w:p>
        </w:tc>
        <w:tc>
          <w:tcPr>
            <w:vAlign w:val="center"/>
          </w:tcPr>
          <w:p>
            <w:pPr>
              <w:pStyle w:val="MDPI42tablebody"/>
              <w:jc w:val="center"/>
            </w:pPr>
            <w:r>
              <w:t xml:space="preserve">14.27</w:t>
            </w:r>
          </w:p>
        </w:tc>
        <w:tc>
          <w:tcPr>
            <w:vAlign w:val="center"/>
          </w:tcPr>
          <w:p>
            <w:pPr>
              <w:pStyle w:val="MDPI42tablebody"/>
              <w:jc w:val="center"/>
            </w:pPr>
            <m:oMath>
              <m:r>
                <m:rPr>
                  <m:sty m:val="p"/>
                </m:rPr>
                <m:t>+</m:t>
              </m:r>
              <m:r>
                <m:t>1.12</m:t>
              </m:r>
            </m:oMath>
            <w:r>
              <w:t xml:space="preserve">​</w:t>
            </w:r>
          </w:p>
        </w:tc>
        <w:tc>
          <w:tcPr>
            <w:vAlign w:val="center"/>
          </w:tcPr>
          <w:p>
            <w:pPr>
              <w:pStyle w:val="MDPI42tablebody"/>
              <w:jc w:val="center"/>
            </w:pPr>
            <m:oMath>
              <m:r>
                <m:rPr>
                  <m:sty m:val="p"/>
                </m:rPr>
                <m:t>−</m:t>
              </m:r>
              <m:r>
                <m:t>42.87</m:t>
              </m:r>
            </m:oMath>
            <w:r>
              <w:t xml:space="preserve">​</w:t>
            </w:r>
          </w:p>
        </w:tc>
        <w:tc>
          <w:tcPr>
            <w:vAlign w:val="center"/>
          </w:tcPr>
          <w:p>
            <w:pPr>
              <w:pStyle w:val="MDPI42tablebody"/>
              <w:jc w:val="center"/>
            </w:pPr>
            <w:r>
              <w:t xml:space="preserve">4/40</w:t>
            </w:r>
          </w:p>
        </w:tc>
      </w:tr>
      <w:tr>
        <w:tc>
          <w:tcPr>
            <w:vAlign w:val="center"/>
          </w:tcPr>
          <w:p>
            <w:pPr>
              <w:pStyle w:val="MDPI42tablebody"/>
              <w:jc w:val="center"/>
            </w:pPr>
            <w:r>
              <w:t xml:space="preserve">0.20</w:t>
            </w:r>
          </w:p>
        </w:tc>
        <w:tc>
          <w:tcPr>
            <w:vAlign w:val="center"/>
          </w:tcPr>
          <w:p>
            <w:pPr>
              <w:pStyle w:val="MDPI42tablebody"/>
              <w:jc w:val="center"/>
            </w:pPr>
            <m:oMath>
              <m:r>
                <m:rPr>
                  <m:sty m:val="p"/>
                </m:rPr>
                <m:t>−</m:t>
              </m:r>
              <m:r>
                <m:t>8.12</m:t>
              </m:r>
            </m:oMath>
            <w:r>
              <w:t xml:space="preserve">​</w:t>
            </w:r>
          </w:p>
        </w:tc>
        <w:tc>
          <w:tcPr>
            <w:vAlign w:val="center"/>
          </w:tcPr>
          <w:p>
            <w:pPr>
              <w:pStyle w:val="MDPI42tablebody"/>
              <w:jc w:val="center"/>
            </w:pPr>
            <w:r>
              <w:t xml:space="preserve">18.39</w:t>
            </w:r>
          </w:p>
        </w:tc>
        <w:tc>
          <w:tcPr>
            <w:vAlign w:val="center"/>
          </w:tcPr>
          <w:p>
            <w:pPr>
              <w:pStyle w:val="MDPI42tablebody"/>
              <w:jc w:val="center"/>
            </w:pPr>
            <m:oMath>
              <m:r>
                <m:rPr>
                  <m:sty m:val="p"/>
                </m:rPr>
                <m:t>−</m:t>
              </m:r>
              <m:r>
                <m:t>0.31</m:t>
              </m:r>
            </m:oMath>
            <w:r>
              <w:t xml:space="preserve">​</w:t>
            </w:r>
          </w:p>
        </w:tc>
        <w:tc>
          <w:tcPr>
            <w:vAlign w:val="center"/>
          </w:tcPr>
          <w:p>
            <w:pPr>
              <w:pStyle w:val="MDPI42tablebody"/>
              <w:jc w:val="center"/>
            </w:pPr>
            <m:oMath>
              <m:r>
                <m:rPr>
                  <m:sty m:val="p"/>
                </m:rPr>
                <m:t>−</m:t>
              </m:r>
              <m:r>
                <m:t>42.16</m:t>
              </m:r>
            </m:oMath>
            <w:r>
              <w:t xml:space="preserve">​</w:t>
            </w:r>
          </w:p>
        </w:tc>
        <w:tc>
          <w:tcPr>
            <w:vAlign w:val="center"/>
          </w:tcPr>
          <w:p>
            <w:pPr>
              <w:pStyle w:val="MDPI42tablebody"/>
              <w:jc w:val="center"/>
            </w:pPr>
            <w:r>
              <w:t xml:space="preserve">12/40</w:t>
            </w:r>
          </w:p>
        </w:tc>
      </w:tr>
      <w:tr>
        <w:tc>
          <w:tcPr>
            <w:vAlign w:val="center"/>
          </w:tcPr>
          <w:p>
            <w:pPr>
              <w:pStyle w:val="MDPI42tablebody"/>
              <w:jc w:val="center"/>
            </w:pPr>
            <w:r>
              <w:t xml:space="preserve">Span</w:t>
            </w:r>
          </w:p>
        </w:tc>
        <w:tc>
          <w:tcPr>
            <w:vAlign w:val="center"/>
          </w:tcPr>
          <w:p>
            <w:pPr>
              <w:pStyle w:val="MDPI42tablebody"/>
              <w:jc w:val="center"/>
            </w:pPr>
            <w:r>
              <w:t xml:space="preserve">12.24</w:t>
            </w:r>
          </w:p>
        </w:tc>
        <w:tc>
          <w:tcPr>
            <w:vAlign w:val="center"/>
          </w:tcPr>
          <w:p>
            <w:pPr>
              <w:pStyle w:val="MDPI42tablebody"/>
              <w:jc w:val="center"/>
            </w:pPr>
            <w:r>
              <w:t xml:space="preserve">–</w:t>
            </w:r>
          </w:p>
        </w:tc>
        <w:tc>
          <w:tcPr>
            <w:vAlign w:val="center"/>
          </w:tcPr>
          <w:p>
            <w:pPr>
              <w:pStyle w:val="MDPI42tablebody"/>
              <w:jc w:val="center"/>
            </w:pPr>
            <w:r>
              <w:t xml:space="preserve">5.72</w:t>
            </w:r>
          </w:p>
        </w:tc>
        <w:tc>
          <w:tcPr>
            <w:vAlign w:val="center"/>
          </w:tcPr>
          <w:p>
            <w:pPr>
              <w:pStyle w:val="MDPI42tablebody"/>
              <w:jc w:val="center"/>
            </w:pPr>
            <w:r>
              <w:t xml:space="preserve">–</w:t>
            </w:r>
          </w:p>
        </w:tc>
        <w:tc>
          <w:tcPr>
            <w:vAlign w:val="center"/>
          </w:tcPr>
          <w:p>
            <w:pPr>
              <w:pStyle w:val="MDPI42tablebody"/>
              <w:jc w:val="center"/>
            </w:pPr>
            <w:r>
              <w:t xml:space="preserve">–</w:t>
            </w:r>
          </w:p>
        </w:tc>
      </w:tr>
    </w:tbl>
    <w:bookmarkEnd w:id="67"/>
    <w:bookmarkStart w:id="71" w:name="fig:perturb"/>
    <w:p>
      <w:pPr>
        <w:pStyle w:val="MDPI52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 </w:t>
      </w:r>
      <w:r>
        <w:t xml:space="preserve">– 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but is not a</w:t>
      </w:r>
      <w:r>
        <w:t xml:space="preserve"> </w:t>
      </w:r>
      <w:r>
        <w:t xml:space="preserve">sufficient explanation for the non-monotone closed-loop economics.</w:t>
      </w:r>
    </w:p>
    <w:p>
      <w:pPr>
        <w:pStyle w:val="MDPI31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MDPI31text"/>
      </w:pPr>
      <w:r>
        <w:t xml:space="preserve">The controlled evidence for that reading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 both</w:t>
      </w:r>
      <w:r>
        <w:t xml:space="preserve"> </w:t>
      </w:r>
      <w:r>
        <w:t xml:space="preserve">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 survival is a property of each fit, not a randomised</w:t>
      </w:r>
      <w:r>
        <w:t xml:space="preserve"> </w:t>
      </w:r>
      <w:r>
        <w:t xml:space="preserve">factor, and it is confounded with recipe – so the conservative reading is that</w:t>
      </w:r>
      <w:r>
        <w:t xml:space="preserve"> </w:t>
      </w:r>
      <w:r>
        <w:t xml:space="preserve">survival marks which fits collapse rather than measuring the whole library effect.</w:t>
      </w:r>
    </w:p>
    <w:p>
      <w:pPr>
        <w:pStyle w:val="MDPI31text"/>
      </w:pPr>
      <w:r>
        <w:t xml:space="preserve">One plausible explanation for why the middle library is worse than both of its</w:t>
      </w:r>
      <w:r>
        <w:t xml:space="preserve"> </w:t>
      </w:r>
      <w:r>
        <w:t xml:space="preserve">neighbours is that the library without cross terms carries enough collinearity for</w:t>
      </w:r>
      <w:r>
        <w:t xml:space="preserve"> </w:t>
      </w:r>
      <w:r>
        <w:t xml:space="preserve">the threshold to destabilise the direct boiler term, but – unlike the full</w:t>
      </w:r>
      <w:r>
        <w:t xml:space="preserve"> </w:t>
      </w:r>
      <w:r>
        <w:t xml:space="preserve">library – 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rPr>
          <w:b/>
          <w:bCs/>
        </w:rPr>
        <w:t xml:space="preserve">The term-deletion test rejects this detour explanation.</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 the only one of the four cross terms that</w:t>
      </w:r>
      <w:r>
        <w:t xml:space="preserve"> </w:t>
      </w:r>
      <w:r>
        <w:t xml:space="preserve">touches the boiler – 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t>
      </w:r>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 – both computed on the identification data in</w:t>
      </w:r>
      <w:r>
        <w:t xml:space="preserve"> </w:t>
      </w:r>
      <w:r>
        <w:t xml:space="preserve">seconds, before any closed-loop season is simulated – 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pre-specified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The strength of that claim must be stated at the resolution the three libraries</w:t>
      </w:r>
      <w:r>
        <w:t xml:space="preserve"> </w:t>
      </w:r>
      <w:r>
        <w:t xml:space="preserve">allow. Over the series, the screen identifies the closed-loop winner and</w:t>
      </w:r>
      <w:r>
        <w:t xml:space="preserve"> </w:t>
      </w:r>
      <w:r>
        <w:t xml:space="preserve">one-step accuracy ranks that same winner last;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 – not a rank correlation across the series.</w:t>
      </w:r>
    </w:p>
    <w:p>
      <w:pPr>
        <w:pStyle w:val="MDPI31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 – it</w:t>
      </w:r>
      <w:r>
        <w:t xml:space="preserve"> </w:t>
      </w:r>
      <w:r>
        <w:t xml:space="preserve">inspects numbers already computed – 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The ladder’s rollout value is a comparator,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t xml:space="preserve">evaluation 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MDPI31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 –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t>
      </w:r>
      <w:r>
        <w:t xml:space="preserve">– while neither group buys back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5"/>
    <w:bookmarkStart w:id="76" w:name="sec:disc-sparsity"/>
    <w:p>
      <w:pPr>
        <w:pStyle w:val="MDPI22heading2"/>
      </w:pPr>
      <w:r>
        <w:t xml:space="preserve">4.3. </w:t>
      </w:r>
      <w:r>
        <w:t xml:space="preserve">Sparsity is exonerated</w:t>
      </w:r>
    </w:p>
    <w:p>
      <w:pPr>
        <w:pStyle w:val="MDPI31text"/>
      </w:pPr>
      <w:r>
        <w:t xml:space="preserve">The winner is the sparser model on both counts –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w:t>
      </w:r>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 – bagged ensemble and plain sequential thresholded least</w:t>
      </w:r>
      <w:r>
        <w:t xml:space="preserve"> </w:t>
      </w:r>
      <w:r>
        <w:t xml:space="preserve">squares –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 16 random trials, selection on the training years</w:t>
      </w:r>
      <w:r>
        <w:t xml:space="preserve"> </w:t>
      </w:r>
      <w:r>
        <w:t xml:space="preserve">only –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the</w:t>
      </w:r>
      <w:r>
        <w:t xml:space="preserve"> </w:t>
      </w:r>
      <w:r>
        <w:t xml:space="preserve">stock configuration sat at the 88th percentile of its own search space: it was a credible</w:t>
      </w:r>
      <w:r>
        <w:t xml:space="preserve"> </w:t>
      </w:r>
      <w:r>
        <w:t xml:space="preserve">agronomic baseline 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The practical</w:t>
      </w:r>
      <w:r>
        <w:t xml:space="preserve"> </w:t>
      </w:r>
      <w:r>
        <w:t xml:space="preserve">implication is nevertheless clear: a greenhouse-controller benchmark should use a tuned</w:t>
      </w:r>
      <w:r>
        <w:t xml:space="preserve"> </w:t>
      </w:r>
      <w:r>
        <w:t xml:space="preserve">agronomic reference and site-relevant energy and CO</w:t>
      </w:r>
      <m:oMath>
        <m:sSub>
          <m:e>
            <m:r>
              <m:t>​</m:t>
            </m:r>
          </m:e>
          <m:sub>
            <m:r>
              <m:t>2</m:t>
            </m:r>
          </m:sub>
        </m:sSub>
      </m:oMath>
      <w:r>
        <w:t xml:space="preserve"> </w:t>
      </w:r>
      <w:r>
        <w:t xml:space="preserve">prices before attributing an</w:t>
      </w:r>
      <w:r>
        <w:t xml:space="preserve"> </w:t>
      </w:r>
      <w:r>
        <w:t xml:space="preserve">economic difference to the 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 model</w:t>
      </w:r>
      <w:r>
        <w:t xml:space="preserve"> </w:t>
      </w:r>
      <w:r>
        <w:t xml:space="preserve">quality cannot be judged independently of the control task the model</w:t>
      </w:r>
      <w:r>
        <w:t xml:space="preserve"> </w:t>
      </w:r>
      <w:r>
        <w:t xml:space="preserve">serves  [18–20,25,46] –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 not 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 – a</w:t>
      </w:r>
      <w:r>
        <w:t xml:space="preserve"> </w:t>
      </w:r>
      <w:r>
        <w:t xml:space="preserve">point on which library optimisation scored by recursive long-term</w:t>
      </w:r>
      <w:r>
        <w:t xml:space="preserve"> </w:t>
      </w:r>
      <w:r>
        <w:t xml:space="preserve">prediction  [17] converges from the opposite direction.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numPr>
          <w:ilvl w:val="0"/>
          <w:numId w:val="1002"/>
        </w:numPr>
      </w:pPr>
      <w:r>
        <w:rPr>
          <w:b/>
          <w:bCs/>
        </w:rPr>
        <w:t xml:space="preserve">There is no physical-greenhouse validation.</w:t>
      </w:r>
      <w:r>
        <w:t xml:space="preserve"> </w:t>
      </w:r>
      <w:r>
        <w:t xml:space="preserve">Every climate trajectory,</w:t>
      </w:r>
      <w:r>
        <w:t xml:space="preserve"> </w:t>
      </w:r>
      <w:r>
        <w:t xml:space="preserve">crop response, resource use and margin is generated by GreenLight under ERA5-derived</w:t>
      </w:r>
      <w:r>
        <w:t xml:space="preserve"> </w:t>
      </w:r>
      <w:r>
        <w:t xml:space="preserve">weather. The published evaluation of GreenLight supports its use as a common testbed, but</w:t>
      </w:r>
      <w:r>
        <w:t xml:space="preserve"> </w:t>
      </w:r>
      <w:r>
        <w:t xml:space="preserve">does not validate the controllers developed here. The comparison excludes unmodelled</w:t>
      </w:r>
      <w:r>
        <w:t xml:space="preserve"> </w:t>
      </w:r>
      <w:r>
        <w:t xml:space="preserve">sensor bias, actuator wear and delay, crop heterogeneity, pests and disease, and operational</w:t>
      </w:r>
      <w:r>
        <w:t xml:space="preserve"> </w:t>
      </w:r>
      <w:r>
        <w:t xml:space="preserve">intervention by growers. Absolute EUR m</w:t>
      </w:r>
      <m:oMath>
        <m:sSup>
          <m:e>
            <m:r>
              <m:t>​</m:t>
            </m:r>
          </m:e>
          <m:sup>
            <m:r>
              <m:rPr>
                <m:sty m:val="p"/>
              </m:rPr>
              <m:t>−</m:t>
            </m:r>
            <m:r>
              <m:t>2</m:t>
            </m:r>
          </m:sup>
        </m:sSup>
      </m:oMath>
      <w:r>
        <w:t xml:space="preserve"> </w:t>
      </w:r>
      <w:r>
        <w:t xml:space="preserve">values should therefore be read as outputs</w:t>
      </w:r>
      <w:r>
        <w:t xml:space="preserve"> </w:t>
      </w:r>
      <w:r>
        <w:t xml:space="preserve">of the virtual experiment; only comparative behaviour within the stated model and price</w:t>
      </w:r>
      <w:r>
        <w:t xml:space="preserve"> </w:t>
      </w:r>
      <w:r>
        <w:t xml:space="preserve">assumptions is established. Hardware-in-the-loop testing followed by a greenhouse pilot</w:t>
      </w:r>
      <w:r>
        <w:t xml:space="preserve"> </w:t>
      </w:r>
      <w:r>
        <w:t xml:space="preserve">with independently measured climate, energy use and marketable yield is required before</w:t>
      </w:r>
      <w:r>
        <w:t xml:space="preserve"> </w:t>
      </w:r>
      <w:r>
        <w:t xml:space="preserve">deployment.</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 – 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 – 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of Table </w:t>
      </w:r>
      <w:hyperlink w:anchor="tab:wilcoxon">
        <w:r>
          <w:rPr>
            <w:rStyle w:val="Hyperlink"/>
          </w:rPr>
          <w:t xml:space="preserve">7</w:t>
        </w:r>
      </w:hyperlink>
      <w:r>
        <w:t xml:space="preserve"> </w:t>
      </w:r>
      <w:r>
        <w:t xml:space="preserve">– the raw-library ensemble against</w:t>
      </w:r>
      <w:r>
        <w:t xml:space="preserve"> </w:t>
      </w:r>
      <w:r>
        <w:t xml:space="preserve">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w:t>
      </w:r>
      <w:r>
        <w:t xml:space="preserve"> </w:t>
      </w:r>
      <w:r>
        <w:t xml:space="preserve">physics-informed variant against 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w:t>
      </w:r>
      <w:r>
        <w:t xml:space="preserve">–</w:t>
      </w:r>
      <w:r>
        <w:t xml:space="preserve"> </w:t>
      </w:r>
      <w:r>
        <w:t xml:space="preserve">without any controller crossing</w:t>
      </w:r>
      <w:r>
        <w:t xml:space="preserve"> </w:t>
      </w:r>
      <m:oMath>
        <m:r>
          <m:t>0.05</m:t>
        </m:r>
      </m:oMath>
      <w:r>
        <w:t xml:space="preserve">. The paired raw-versus-physics contrast of</w:t>
      </w:r>
      <w:r>
        <w:t xml:space="preserve"> </w:t>
      </w:r>
      <w:r>
        <w:t xml:space="preserve">Section </w:t>
      </w:r>
      <w:hyperlink w:anchor="sec:res-main">
        <w:r>
          <w:rPr>
            <w:rStyle w:val="Hyperlink"/>
          </w:rPr>
          <w:t xml:space="preserve">3.3</w:t>
        </w:r>
      </w:hyperlink>
      <w:r>
        <w:t xml:space="preserve"> </w:t>
      </w:r>
      <w:r>
        <w:t xml:space="preserve">is the exception that shows the rule: it sits at</w:t>
      </w:r>
      <w:r>
        <w:t xml:space="preserve"> </w:t>
      </w:r>
      <m:oMath>
        <m:r>
          <m:t>7.7</m:t>
        </m:r>
        <m:r>
          <m:rPr>
            <m:sty m:val="p"/>
          </m:rPr>
          <m:t>×</m:t>
        </m:r>
        <m:sSup>
          <m:e>
            <m:r>
              <m:t>10</m:t>
            </m:r>
          </m:e>
          <m:sup>
            <m:r>
              <m:rPr>
                <m:sty m:val="p"/>
              </m:rPr>
              <m:t>−</m:t>
            </m:r>
            <m:r>
              <m:t>4</m:t>
            </m:r>
          </m:sup>
        </m:sSup>
      </m:oMath>
      <w:r>
        <w:t xml:space="preserve"> </w:t>
      </w:r>
      <w:r>
        <w:t xml:space="preserve">under both families, because enlarging the family moved nothing</w:t>
      </w:r>
      <w:r>
        <w:t xml:space="preserve"> </w:t>
      </w:r>
      <w:r>
        <w:t xml:space="preserve">below it.</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 – all 20 runs exhausted the solver-failure budget – 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 measured, not manipulated,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w:t>
      </w:r>
      <w:r>
        <w:t xml:space="preserve">– 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 – the term-deletion probe below – 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 – 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 – 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use the default objective.</w:t>
      </w:r>
      <w:r>
        <w:t xml:space="preserve"> </w:t>
      </w:r>
      <w:r>
        <w:t xml:space="preserve">The support</w:t>
      </w:r>
      <w:r>
        <w:t xml:space="preserve"> </w:t>
      </w:r>
      <w:r>
        <w:t xml:space="preserve">harness hard-codes the default stage cost, so those sensitivities do not test the</w:t>
      </w:r>
      <w:r>
        <w:t xml:space="preserve"> </w:t>
      </w:r>
      <w:r>
        <w:t xml:space="preserve">price-aligned formulation. Under the default objective, perturbing identified coefficients</w:t>
      </w:r>
      <w:r>
        <w:t xml:space="preserve"> </w:t>
      </w:r>
      <w:r>
        <w:t xml:space="preserve">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 – 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 – 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 unknown: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 – the two harnesses score the</w:t>
      </w:r>
      <w:r>
        <w:t xml:space="preserve"> </w:t>
      </w:r>
      <w:r>
        <w:t xml:space="preserve">deterministic 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Additional scope limits.</w:t>
      </w:r>
      <w:r>
        <w:t xml:space="preserve"> </w:t>
      </w:r>
      <w:r>
        <w:t xml:space="preserve">One location, one planting date, one crop model</w:t>
      </w:r>
      <w:r>
        <w:t xml:space="preserve"> </w:t>
      </w:r>
      <w:r>
        <w:t xml:space="preserve">and one weather source are represented. The ranking is not price-invariant: two different</w:t>
      </w:r>
      <w:r>
        <w:t xml:space="preserve"> </w:t>
      </w:r>
      <w:r>
        <w:t xml:space="preserve">controllers win across a nine-point grid of fruit and energy prices – 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 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 open-loop 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 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rPr>
          <w:tblHeader/>
        </w:trPr>
        <w:tc>
          <w:tcPr>
            <w:vAlign w:val="center"/>
          </w:tcPr>
          <w:p>
            <w:pPr>
              <w:pStyle w:val="MDPI42tablebody"/>
              <w:jc w:val="center"/>
            </w:pPr>
            <w:r>
              <w:t xml:space="preserve">Feature library</w:t>
            </w:r>
          </w:p>
        </w:tc>
        <w:tc>
          <w:tcPr>
            <w:vAlign w:val="center"/>
          </w:tcPr>
          <w:p>
            <w:pPr>
              <w:pStyle w:val="MDPI42tablebody"/>
              <w:jc w:val="center"/>
            </w:pPr>
            <w:r>
              <w:t xml:space="preserve">Features</w:t>
            </w:r>
          </w:p>
        </w:tc>
        <w:tc>
          <w:tcPr>
            <w:vAlign w:val="center"/>
          </w:tcPr>
          <w:p>
            <w:pPr>
              <w:pStyle w:val="MDPI42tablebody"/>
              <w:jc w:val="center"/>
            </w:pPr>
            <m:oMath>
              <m:r>
                <m:t>κ</m:t>
              </m:r>
            </m:oMath>
            <w:r>
              <w:t xml:space="preserve">​</w:t>
            </w:r>
          </w:p>
        </w:tc>
        <w:tc>
          <w:tcPr>
            <w:vAlign w:val="center"/>
          </w:tcPr>
          <w:p>
            <w:pPr>
              <w:pStyle w:val="MDPI42tablebody"/>
              <w:jc w:val="center"/>
            </w:pPr>
            <w:r>
              <w:t xml:space="preserve">Terms</w:t>
            </w:r>
          </w:p>
        </w:tc>
        <w:tc>
          <w:tcPr>
            <w:vAlign w:val="center"/>
          </w:tcPr>
          <w:p>
            <w:pPr>
              <w:pStyle w:val="MDPI42tablebody"/>
              <w:jc w:val="center"/>
            </w:pPr>
            <w:r>
              <w:t xml:space="preserve">One-step RMSE</w:t>
            </w:r>
          </w:p>
        </w:tc>
        <w:tc>
          <w:tcPr>
            <w:vAlign w:val="center"/>
          </w:tcPr>
          <w:p>
            <w:pPr>
              <w:pStyle w:val="MDPI42tablebody"/>
              <w:jc w:val="center"/>
            </w:pPr>
            <w:r>
              <w:t xml:space="preserve">Rollout RMSE, median [IQR]</w:t>
            </w:r>
          </w:p>
        </w:tc>
        <w:tc>
          <w:tcPr>
            <w:vAlign w:val="center"/>
          </w:tcPr>
          <w:p>
            <w:pPr>
              <w:pStyle w:val="MDPI42tablebody"/>
              <w:jc w:val="center"/>
            </w:pPr>
            <w:r>
              <w:t xml:space="preserve">Diverged</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(°C)</w:t>
            </w:r>
          </w:p>
        </w:tc>
        <w:tc>
          <w:tcPr>
            <w:vAlign w:val="center"/>
          </w:tcPr>
          <w:p>
            <w:pPr>
              <w:pStyle w:val="MDPI42tablebody"/>
              <w:jc w:val="center"/>
            </w:pPr>
            <w:r>
              <w:t xml:space="preserve">(°C)</w:t>
            </w:r>
          </w:p>
        </w:tc>
        <w:tc>
          <w:tcPr>
            <w:vAlign w:val="center"/>
          </w:tcPr>
          <w:p>
            <w:pPr>
              <w:pStyle w:val="MDPI42tablebody"/>
              <w:jc w:val="center"/>
            </w:pPr>
            <w:r>
              <w:t xml:space="preserve">(fraction)</w:t>
            </w:r>
          </w:p>
        </w:tc>
      </w:tr>
      <w:tr>
        <w:tc>
          <w:tcPr>
            <w:gridSpan w:val="7"/>
            <w:vAlign w:val="center"/>
          </w:tcPr>
          <w:p>
            <w:pPr>
              <w:pStyle w:val="MDPI42tablebody"/>
              <w:jc w:val="center"/>
            </w:pPr>
            <w:r>
              <w:rPr>
                <w:i/>
                <w:iCs/>
              </w:rPr>
              <w:t xml:space="preserve">In-sample</w:t>
            </w:r>
          </w:p>
        </w:tc>
      </w:tr>
      <w:t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1.84</w:t>
            </w:r>
          </w:p>
        </w:tc>
        <w:tc>
          <w:tcPr>
            <w:vAlign w:val="center"/>
          </w:tcPr>
          <w:p>
            <w:pPr>
              <w:pStyle w:val="MDPI42tablebody"/>
              <w:jc w:val="center"/>
            </w:pPr>
            <w:r>
              <w:rPr>
                <w:b/>
                <w:bCs/>
              </w:rPr>
              <w:t xml:space="preserve">2.62</w:t>
            </w:r>
            <w:r>
              <w:t xml:space="preserve"> </w:t>
            </w:r>
            <w:r>
              <w:t xml:space="preserve">[2.53, 2.80]</w:t>
            </w:r>
          </w:p>
        </w:tc>
        <w:tc>
          <w:tcPr>
            <w:vAlign w:val="center"/>
          </w:tcPr>
          <w:p>
            <w:pPr>
              <w:pStyle w:val="MDPI42tablebody"/>
              <w:jc w:val="center"/>
            </w:pPr>
            <w:r>
              <w:rPr>
                <w:b/>
                <w:bCs/>
              </w:rPr>
              <w:t xml:space="preserve">0.000</w:t>
            </w:r>
          </w:p>
        </w:tc>
      </w:tr>
      <w:t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1.69</w:t>
            </w:r>
          </w:p>
        </w:tc>
        <w:tc>
          <w:tcPr>
            <w:vAlign w:val="center"/>
          </w:tcPr>
          <w:p>
            <w:pPr>
              <w:pStyle w:val="MDPI42tablebody"/>
              <w:jc w:val="center"/>
            </w:pPr>
            <w:r>
              <w:t xml:space="preserve">12.14 [2.88, 14.10]</w:t>
            </w:r>
          </w:p>
        </w:tc>
        <w:tc>
          <w:tcPr>
            <w:vAlign w:val="center"/>
          </w:tcPr>
          <w:p>
            <w:pPr>
              <w:pStyle w:val="MDPI42tablebody"/>
              <w:jc w:val="center"/>
            </w:pPr>
            <w:r>
              <w:t xml:space="preserve">0.021</w:t>
            </w:r>
          </w:p>
        </w:tc>
      </w:tr>
      <w:t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1.64</w:t>
            </w:r>
          </w:p>
        </w:tc>
        <w:tc>
          <w:tcPr>
            <w:vAlign w:val="center"/>
          </w:tcPr>
          <w:p>
            <w:pPr>
              <w:pStyle w:val="MDPI42tablebody"/>
              <w:jc w:val="center"/>
            </w:pPr>
            <w:r>
              <w:t xml:space="preserve">21.88 [18.06, 25.58]</w:t>
            </w:r>
          </w:p>
        </w:tc>
        <w:tc>
          <w:tcPr>
            <w:vAlign w:val="center"/>
          </w:tcPr>
          <w:p>
            <w:pPr>
              <w:pStyle w:val="MDPI42tablebody"/>
              <w:jc w:val="center"/>
            </w:pPr>
            <w:r>
              <w:t xml:space="preserve">0.078</w:t>
            </w:r>
          </w:p>
        </w:tc>
      </w:tr>
      <w:tr>
        <w:tc>
          <w:tcPr>
            <w:gridSpan w:val="7"/>
            <w:vAlign w:val="center"/>
          </w:tcPr>
          <w:p>
            <w:pPr>
              <w:pStyle w:val="MDPI42tablebody"/>
              <w:jc w:val="center"/>
            </w:pPr>
            <w:r>
              <w:rPr>
                <w:i/>
                <w:iCs/>
              </w:rPr>
              <w:t xml:space="preserve">Held-out year</w:t>
            </w:r>
          </w:p>
        </w:tc>
      </w:tr>
      <w:t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1.89</w:t>
            </w:r>
          </w:p>
        </w:tc>
        <w:tc>
          <w:tcPr>
            <w:vAlign w:val="center"/>
          </w:tcPr>
          <w:p>
            <w:pPr>
              <w:pStyle w:val="MDPI42tablebody"/>
              <w:jc w:val="center"/>
            </w:pPr>
            <w:r>
              <w:rPr>
                <w:b/>
                <w:bCs/>
              </w:rPr>
              <w:t xml:space="preserve">2.72</w:t>
            </w:r>
            <w:r>
              <w:t xml:space="preserve"> </w:t>
            </w:r>
            <w:r>
              <w:t xml:space="preserve">[2.63, 2.84]</w:t>
            </w:r>
          </w:p>
        </w:tc>
        <w:tc>
          <w:tcPr>
            <w:vAlign w:val="center"/>
          </w:tcPr>
          <w:p>
            <w:pPr>
              <w:pStyle w:val="MDPI42tablebody"/>
              <w:jc w:val="center"/>
            </w:pPr>
            <w:r>
              <w:rPr>
                <w:b/>
                <w:bCs/>
              </w:rPr>
              <w:t xml:space="preserve">0.000</w:t>
            </w:r>
          </w:p>
        </w:tc>
      </w:tr>
      <w:t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1.82</w:t>
            </w:r>
          </w:p>
        </w:tc>
        <w:tc>
          <w:tcPr>
            <w:vAlign w:val="center"/>
          </w:tcPr>
          <w:p>
            <w:pPr>
              <w:pStyle w:val="MDPI42tablebody"/>
              <w:jc w:val="center"/>
            </w:pPr>
            <w:r>
              <w:t xml:space="preserve">15.42 [2.69, 21.13]</w:t>
            </w:r>
          </w:p>
        </w:tc>
        <w:tc>
          <w:tcPr>
            <w:vAlign w:val="center"/>
          </w:tcPr>
          <w:p>
            <w:pPr>
              <w:pStyle w:val="MDPI42tablebody"/>
              <w:jc w:val="center"/>
            </w:pPr>
            <w:r>
              <w:t xml:space="preserve">0.046</w:t>
            </w:r>
          </w:p>
        </w:tc>
      </w:tr>
      <w:t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1.76</w:t>
            </w:r>
          </w:p>
        </w:tc>
        <w:tc>
          <w:tcPr>
            <w:vAlign w:val="center"/>
          </w:tcPr>
          <w:p>
            <w:pPr>
              <w:pStyle w:val="MDPI42tablebody"/>
              <w:jc w:val="center"/>
            </w:pPr>
            <w:r>
              <w:t xml:space="preserve">21.57 [15.56, 31.74]</w:t>
            </w:r>
          </w:p>
        </w:tc>
        <w:tc>
          <w:tcPr>
            <w:vAlign w:val="center"/>
          </w:tcPr>
          <w:p>
            <w:pPr>
              <w:pStyle w:val="MDPI42tablebody"/>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auto" w:w="0"/>
        <w:tblLook w:firstRow="1" w:lastRow="0" w:firstColumn="0" w:lastColumn="0" w:noHBand="0" w:noVBand="0" w:val="0020"/>
        <w:tblCaption w:val="Sensitivity of the headline comparison to two benchmarking safeguards. EPI is the simulated seasonal margin returned by the virtual greenhouse."/>
      </w:tblPr>
      <w:tblGrid>
        <w:gridCol w:w="2640"/>
        <w:gridCol w:w="2640"/>
        <w:gridCol w:w="2640"/>
      </w:tblGrid>
      <w:tr>
        <w:trPr>
          <w:tblHeader w:val="on"/>
        </w:trPr>
        <w:tc>
          <w:tcPr>
            <w:vAlign w:val="center"/>
          </w:tcPr>
          <w:p>
            <w:pPr>
              <w:pStyle w:val="MDPI42tablebody"/>
              <w:jc w:val="center"/>
            </w:pPr>
          </w:p>
        </w:tc>
        <w:tc>
          <w:tcPr>
            <w:vAlign w:val="center"/>
          </w:tcPr>
          <w:p>
            <w:pPr>
              <w:pStyle w:val="MDPI42tablebody"/>
              <w:jc w:val="center"/>
            </w:pPr>
            <w:r>
              <w:rPr>
                <w:i/>
                <w:iCs/>
              </w:rPr>
              <w:t xml:space="preserve">Safeguard 1</w:t>
            </w:r>
            <w:r>
              <w:t xml:space="preserve">: tuned baseline</w:t>
            </w:r>
          </w:p>
        </w:tc>
        <w:tc>
          <w:tcPr>
            <w:vAlign w:val="center"/>
          </w:tcPr>
          <w:p>
            <w:pPr>
              <w:pStyle w:val="MDPI42tablebody"/>
              <w:jc w:val="center"/>
            </w:pPr>
            <w:r>
              <w:rPr>
                <w:i/>
                <w:iCs/>
              </w:rPr>
              <w:t xml:space="preserve">Safeguard 2</w:t>
            </w:r>
            <w:r>
              <w:t xml:space="preserve">: price-aligned stage cost</w:t>
            </w:r>
          </w:p>
        </w:tc>
      </w:tr>
      <w:tr>
        <w:tc>
          <w:tcPr>
            <w:vAlign w:val="center"/>
          </w:tcPr>
          <w:p>
            <w:pPr>
              <w:pStyle w:val="MDPI42tablebody"/>
              <w:jc w:val="center"/>
            </w:pPr>
            <w:r>
              <w:t xml:space="preserve">Risk controlled</w:t>
            </w:r>
          </w:p>
        </w:tc>
        <w:tc>
          <w:tcPr>
            <w:vAlign w:val="center"/>
          </w:tcPr>
          <w:p>
            <w:pPr>
              <w:pStyle w:val="MDPI42tablebody"/>
              <w:jc w:val="center"/>
            </w:pPr>
            <w:r>
              <w:t xml:space="preserve">comparison with an otherwise credible but unsearched agronomic heuristic</w:t>
            </w:r>
          </w:p>
        </w:tc>
        <w:tc>
          <w:tcPr>
            <w:vAlign w:val="center"/>
          </w:tcPr>
          <w:p>
            <w:pPr>
              <w:pStyle w:val="MDPI42tablebody"/>
              <w:jc w:val="center"/>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center"/>
          </w:tcPr>
          <w:p>
            <w:pPr>
              <w:pStyle w:val="MDPI42tablebody"/>
              <w:jc w:val="center"/>
            </w:pPr>
            <w:r>
              <w:t xml:space="preserve">Implementation</w:t>
            </w:r>
          </w:p>
        </w:tc>
        <w:tc>
          <w:tcPr>
            <w:vAlign w:val="center"/>
          </w:tcPr>
          <w:p>
            <w:pPr>
              <w:pStyle w:val="MDPI42tablebody"/>
              <w:jc w:val="center"/>
            </w:pPr>
            <w:r>
              <w:t xml:space="preserve">16 random trials, the budget the reinforcement-learning agents received; selection on training years only. The MPCs received no search at all, an asymmetry running against them</w:t>
            </w:r>
          </w:p>
        </w:tc>
        <w:tc>
          <w:tcPr>
            <w:vAlign w:val="center"/>
          </w:tcPr>
          <w:p>
            <w:pPr>
              <w:pStyle w:val="MDPI42tablebody"/>
              <w:jc w:val="center"/>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center"/>
          </w:tcPr>
          <w:p>
            <w:pPr>
              <w:pStyle w:val="MDPI42tablebody"/>
              <w:jc w:val="center"/>
            </w:pPr>
            <w:r>
              <w:t xml:space="preserve">Direct effect</w:t>
            </w:r>
          </w:p>
        </w:tc>
        <w:tc>
          <w:tcPr>
            <w:vAlign w:val="center"/>
          </w:tcPr>
          <w:p>
            <w:pPr>
              <w:pStyle w:val="MDPI42tablebody"/>
              <w:jc w:val="center"/>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center"/>
          </w:tcPr>
          <w:p>
            <w:pPr>
              <w:pStyle w:val="MDPI42tablebody"/>
              <w:jc w:val="center"/>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center"/>
          </w:tcPr>
          <w:p>
            <w:pPr>
              <w:pStyle w:val="MDPI42tablebody"/>
              <w:jc w:val="center"/>
            </w:pPr>
            <w:r>
              <w:t xml:space="preserve">Effect on the comparison</w:t>
            </w:r>
          </w:p>
        </w:tc>
        <w:tc>
          <w:tcPr>
            <w:vAlign w:val="center"/>
          </w:tcPr>
          <w:p>
            <w:pPr>
              <w:pStyle w:val="MDPI42tablebody"/>
              <w:jc w:val="center"/>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center"/>
          </w:tcPr>
          <w:p>
            <w:pPr>
              <w:pStyle w:val="MDPI42tablebody"/>
              <w:jc w:val="center"/>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center"/>
          </w:tcPr>
          <w:p>
            <w:pPr>
              <w:pStyle w:val="MDPI42tablebody"/>
              <w:jc w:val="center"/>
            </w:pPr>
            <w:r>
              <w:t xml:space="preserve">Also changed</w:t>
            </w:r>
          </w:p>
        </w:tc>
        <w:tc>
          <w:tcPr>
            <w:vAlign w:val="center"/>
          </w:tcPr>
          <w:p>
            <w:pPr>
              <w:pStyle w:val="MDPI42tablebody"/>
              <w:jc w:val="center"/>
            </w:pPr>
            <w:r>
              <w:t xml:space="preserve">the heuristic moves onto the two-axis front, which it had not held untuned</w:t>
            </w:r>
          </w:p>
        </w:tc>
        <w:tc>
          <w:tcPr>
            <w:vAlign w:val="center"/>
          </w:tcPr>
          <w:p>
            <w:pPr>
              <w:pStyle w:val="MDPI42tablebody"/>
              <w:jc w:val="center"/>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 rather than conditioning alone – best tracks the non-monotone economic</w:t>
      </w:r>
      <w:r>
        <w:t xml:space="preserve"> </w:t>
      </w:r>
      <w:r>
        <w:t xml:space="preserve">outcome (Graphical Abstract).</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[17,19–21,24].</w:t>
      </w:r>
    </w:p>
    <w:p>
      <w:pPr>
        <w:numPr>
          <w:ilvl w:val="0"/>
          <w:numId w:val="1003"/>
        </w:numPr>
      </w:pPr>
      <w:r>
        <w:rPr>
          <w:b/>
          <w:bCs/>
        </w:rPr>
        <w:t xml:space="preserve">The library selected by multi-step stability also gives the best</w:t>
      </w:r>
      <w:r>
        <w:rPr>
          <w:b/>
          <w:bCs/>
        </w:rPr>
        <w:t xml:space="preserve"> </w:t>
      </w:r>
      <w:r>
        <w:rPr>
          <w:b/>
          <w:bCs/>
        </w:rPr>
        <w:t xml:space="preserve">simulated closed-loop economics under the benchmarking safeguards.</w:t>
      </w:r>
      <w:r>
        <w:t xml:space="preserve"> </w:t>
      </w:r>
      <w:r>
        <w:t xml:space="preserve">Across</w:t>
      </w:r>
      <w:r>
        <w:t xml:space="preserve"> </w:t>
      </w:r>
      <w:r>
        <w:t xml:space="preserve">fifteen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is retained, but its magnitude is sensitive</w:t>
      </w:r>
      <w:r>
        <w:t xml:space="preserve"> </w:t>
      </w:r>
      <w:r>
        <w:t xml:space="preserve">to baseline tuning and economic weighting.</w:t>
      </w:r>
    </w:p>
    <w:p>
      <w:pPr>
        <w:numPr>
          <w:ilvl w:val="0"/>
          <w:numId w:val="1003"/>
        </w:numPr>
      </w:pPr>
      <w:r>
        <w:rPr>
          <w:b/>
          <w:bCs/>
        </w:rPr>
        <w:t xml:space="preserve">Physically motivated features can reduce performance non-monotonically,</w:t>
      </w:r>
      <w:r>
        <w:rPr>
          <w:b/>
          <w:bCs/>
        </w:rPr>
        <w:t xml:space="preserve"> </w:t>
      </w:r>
      <w:r>
        <w:rPr>
          <w:b/>
          <w:bCs/>
        </w:rPr>
        <w:t xml:space="preserve">and conditioning does not order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but does not order closed-loop</w:t>
      </w:r>
      <w:r>
        <w:t xml:space="preserve"> </w:t>
      </w:r>
      <w:r>
        <w:t xml:space="preserve">economics [28–29,47].</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A candidate</w:t>
      </w:r>
      <w:r>
        <w:t xml:space="preserve"> </w:t>
      </w:r>
      <w:r>
        <w:t xml:space="preserve">bilinear temperature–boiler detour was tested by deleting that single feature and</w:t>
      </w:r>
      <w:r>
        <w:t xml:space="preserve"> </w:t>
      </w:r>
      <w:r>
        <w:t xml:space="preserve">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vAlign w:val="center"/>
          </w:tcPr>
          <w:p>
            <w:pPr>
              <w:pStyle w:val="MDPI42tablebody"/>
              <w:jc w:val="center"/>
            </w:pPr>
            <w:r>
              <w:t xml:space="preserve">Quantity</w:t>
            </w:r>
          </w:p>
        </w:tc>
        <w:tc>
          <w:tcPr>
            <w:vAlign w:val="center"/>
          </w:tcPr>
          <w:p>
            <w:pPr>
              <w:pStyle w:val="MDPI42tablebody"/>
              <w:jc w:val="center"/>
            </w:pPr>
            <w:r>
              <w:t xml:space="preserve">Value</w:t>
            </w:r>
          </w:p>
        </w:tc>
        <w:tc>
          <w:tcPr>
            <w:vAlign w:val="center"/>
          </w:tcPr>
          <w:p>
            <w:pPr>
              <w:pStyle w:val="MDPI42tablebody"/>
              <w:jc w:val="center"/>
            </w:pPr>
            <w:r>
              <w:t xml:space="preserve">Source file</w:t>
            </w:r>
          </w:p>
        </w:tc>
      </w:tr>
      <w:tr>
        <w:tc>
          <w:tcPr>
            <w:gridSpan w:val="3"/>
            <w:vAlign w:val="center"/>
          </w:tcPr>
          <w:p>
            <w:pPr>
              <w:pStyle w:val="MDPI42tablebody"/>
              <w:jc w:val="center"/>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center"/>
          </w:tcPr>
          <w:p>
            <w:pPr>
              <w:pStyle w:val="MDPI42tablebody"/>
              <w:jc w:val="center"/>
            </w:pPr>
            <w:r>
              <w:t xml:space="preserve">One-step RMSE,</w:t>
            </w:r>
            <w:r>
              <w:t xml:space="preserve"> </w:t>
            </w:r>
            <m:oMath>
              <m:sSub>
                <m:e>
                  <m:r>
                    <m:t>T</m:t>
                  </m:r>
                </m:e>
                <m:sub>
                  <m:r>
                    <m:rPr>
                      <m:sty m:val="p"/>
                    </m:rPr>
                    <m:t>in</m:t>
                  </m:r>
                </m:sub>
              </m:sSub>
            </m:oMath>
            <w:r>
              <w:t xml:space="preserve"> </w:t>
            </w:r>
            <w:r>
              <w:t xml:space="preserve">(°C)</w:t>
            </w:r>
          </w:p>
        </w:tc>
        <w:tc>
          <w:tcPr>
            <w:vAlign w:val="center"/>
          </w:tcPr>
          <w:p>
            <w:pPr>
              <w:pStyle w:val="MDPI42tablebody"/>
              <w:jc w:val="center"/>
            </w:pPr>
            <w:r>
              <w:t xml:space="preserve">1.86 / 1.73 / 1.68</w:t>
            </w:r>
          </w:p>
        </w:tc>
        <w:tc>
          <w:tcPr>
            <w:vAlign w:val="center"/>
          </w:tcPr>
          <w:p>
            <w:pPr>
              <w:pStyle w:val="MDPI42tablebody"/>
              <w:jc w:val="center"/>
            </w:pPr>
            <w:r>
              <w:rPr>
                <w:rStyle w:val="VerbatimChar"/>
              </w:rPr>
              <w:t xml:space="preserve">ladder_rerun/ ladder_rerun*.csv</w:t>
            </w:r>
          </w:p>
        </w:tc>
      </w:tr>
      <w:tr>
        <w:tc>
          <w:tcPr>
            <w:vAlign w:val="center"/>
          </w:tcPr>
          <w:p>
            <w:pPr>
              <w:pStyle w:val="MDPI42tablebody"/>
              <w:jc w:val="center"/>
            </w:pPr>
            <w:r>
              <w:t xml:space="preserve">Median 24 h rollout RMSE (°C)</w:t>
            </w:r>
          </w:p>
        </w:tc>
        <w:tc>
          <w:tcPr>
            <w:vAlign w:val="center"/>
          </w:tcPr>
          <w:p>
            <w:pPr>
              <w:pStyle w:val="MDPI42tablebody"/>
              <w:jc w:val="center"/>
            </w:pPr>
            <w:r>
              <w:t xml:space="preserve">2.67 / 10.58 / 24.27</w:t>
            </w:r>
          </w:p>
        </w:tc>
        <w:tc>
          <w:tcPr>
            <w:vAlign w:val="center"/>
          </w:tcPr>
          <w:p>
            <w:pPr>
              <w:pStyle w:val="MDPI42tablebody"/>
              <w:jc w:val="center"/>
            </w:pPr>
            <w:r>
              <w:t xml:space="preserve">as above</w:t>
            </w:r>
          </w:p>
        </w:tc>
      </w:tr>
      <w:tr>
        <w:tc>
          <w:tcPr>
            <w:vAlign w:val="center"/>
          </w:tcPr>
          <w:p>
            <w:pPr>
              <w:pStyle w:val="MDPI42tablebody"/>
              <w:jc w:val="center"/>
            </w:pPr>
            <w:r>
              <w:t xml:space="preserve">Divergence fraction</w:t>
            </w:r>
          </w:p>
        </w:tc>
        <w:tc>
          <w:tcPr>
            <w:vAlign w:val="center"/>
          </w:tcPr>
          <w:p>
            <w:pPr>
              <w:pStyle w:val="MDPI42tablebody"/>
              <w:jc w:val="center"/>
            </w:pPr>
            <w:r>
              <w:t xml:space="preserve">0.000 / 0.020 / 0.076</w:t>
            </w:r>
          </w:p>
        </w:tc>
        <w:tc>
          <w:tcPr>
            <w:vAlign w:val="center"/>
          </w:tcPr>
          <w:p>
            <w:pPr>
              <w:pStyle w:val="MDPI42tablebody"/>
              <w:jc w:val="center"/>
            </w:pPr>
            <w:r>
              <w:t xml:space="preserve">as above</w:t>
            </w:r>
          </w:p>
        </w:tc>
      </w:tr>
      <w:tr>
        <w:tc>
          <w:tcPr>
            <w:vAlign w:val="center"/>
          </w:tcPr>
          <w:p>
            <w:pPr>
              <w:pStyle w:val="MDPI42tablebody"/>
              <w:jc w:val="center"/>
            </w:pPr>
            <w:r>
              <w:t xml:space="preserve">Condition number</w:t>
            </w:r>
            <w:r>
              <w:t xml:space="preserve"> </w:t>
            </w:r>
            <m:oMath>
              <m:r>
                <m:t>κ</m:t>
              </m:r>
            </m:oMath>
          </w:p>
        </w:tc>
        <w:tc>
          <w:tcPr>
            <w:vAlign w:val="center"/>
          </w:tcPr>
          <w:p>
            <w:pPr>
              <w:pStyle w:val="MDPI42tablebody"/>
              <w:jc w:val="center"/>
            </w:pPr>
            <w:r>
              <w:t xml:space="preserve">8.21 / 24.52 / 53.43</w:t>
            </w:r>
          </w:p>
        </w:tc>
        <w:tc>
          <w:tcPr>
            <w:vAlign w:val="center"/>
          </w:tcPr>
          <w:p>
            <w:pPr>
              <w:pStyle w:val="MDPI42tablebody"/>
              <w:jc w:val="center"/>
            </w:pPr>
            <w:r>
              <w:t xml:space="preserve">as above</w:t>
            </w:r>
          </w:p>
        </w:tc>
      </w:tr>
      <w:tr>
        <w:tc>
          <w:tcPr>
            <w:vAlign w:val="center"/>
          </w:tcPr>
          <w:p>
            <w:pPr>
              <w:pStyle w:val="MDPI42tablebody"/>
              <w:jc w:val="center"/>
            </w:pPr>
            <w:r>
              <w:t xml:space="preserve">Non-zero terms</w:t>
            </w:r>
          </w:p>
        </w:tc>
        <w:tc>
          <w:tcPr>
            <w:vAlign w:val="center"/>
          </w:tcPr>
          <w:p>
            <w:pPr>
              <w:pStyle w:val="MDPI42tablebody"/>
              <w:jc w:val="center"/>
            </w:pPr>
            <w:r>
              <w:t xml:space="preserve">20.1 / 28.2 / 37.0</w:t>
            </w:r>
          </w:p>
        </w:tc>
        <w:tc>
          <w:tcPr>
            <w:vAlign w:val="center"/>
          </w:tcPr>
          <w:p>
            <w:pPr>
              <w:pStyle w:val="MDPI42tablebody"/>
              <w:jc w:val="center"/>
            </w:pPr>
            <w:r>
              <w:t xml:space="preserve">as above</w:t>
            </w:r>
          </w:p>
        </w:tc>
      </w:tr>
      <w:tr>
        <w:tc>
          <w:tcPr>
            <w:gridSpan w:val="3"/>
            <w:vAlign w:val="center"/>
          </w:tcPr>
          <w:p>
            <w:pPr>
              <w:pStyle w:val="MDPI42tablebody"/>
              <w:jc w:val="center"/>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vAlign w:val="center"/>
          </w:tcPr>
          <w:p>
            <w:pPr>
              <w:pStyle w:val="MDPI42tablebody"/>
              <w:jc w:val="center"/>
            </w:pPr>
            <w:r>
              <w:t xml:space="preserve">library, zero truncated runs). Only the feature library differs between these three controllers.</w:t>
            </w:r>
          </w:p>
        </w:tc>
      </w:tr>
      <w:tr>
        <w:tc>
          <w:tcPr>
            <w:vAlign w:val="center"/>
          </w:tcPr>
          <w:p>
            <w:pPr>
              <w:pStyle w:val="MDPI42tablebody"/>
              <w:jc w:val="center"/>
            </w:pPr>
            <w:r>
              <w:t xml:space="preserve">Closed-loop EPI (EUR m</w:t>
            </w:r>
            <m:oMath>
              <m:sSup>
                <m:e>
                  <m:r>
                    <m:t>​</m:t>
                  </m:r>
                </m:e>
                <m:sup>
                  <m:r>
                    <m:rPr>
                      <m:sty m:val="p"/>
                    </m:rPr>
                    <m:t>−</m:t>
                  </m:r>
                  <m:r>
                    <m:t>2</m:t>
                  </m:r>
                </m:sup>
              </m:sSup>
            </m:oMath>
            <w:r>
              <w:t xml:space="preserve">)</w:t>
            </w:r>
          </w:p>
        </w:tc>
        <w:tc>
          <w:tcPr>
            <w:vAlign w:val="center"/>
          </w:tcPr>
          <w:p>
            <w:pPr>
              <w:pStyle w:val="MDPI42tablebody"/>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center"/>
          </w:tcPr>
          <w:p>
            <w:pPr>
              <w:pStyle w:val="MDPI42tablebody"/>
              <w:jc w:val="center"/>
            </w:pPr>
            <w:r>
              <w:rPr>
                <w:rStyle w:val="VerbatimChar"/>
              </w:rPr>
              <w:t xml:space="preserve">priced_main/*.csv</w:t>
            </w:r>
            <w:r>
              <w:t xml:space="preserve">,</w:t>
            </w:r>
            <w:r>
              <w:t xml:space="preserve"> </w:t>
            </w:r>
            <w:r>
              <w:rPr>
                <w:rStyle w:val="VerbatimChar"/>
              </w:rPr>
              <w:t xml:space="preserve">phys_lib/ main_physlib.csv</w:t>
            </w:r>
          </w:p>
        </w:tc>
      </w:tr>
      <w:tr>
        <w:tc>
          <w:tcPr>
            <w:vAlign w:val="center"/>
          </w:tcPr>
          <w:p>
            <w:pPr>
              <w:pStyle w:val="MDPI42tablebody"/>
              <w:jc w:val="center"/>
            </w:pPr>
            <w:r>
              <w:t xml:space="preserve">Boiler-term survival</w:t>
            </w:r>
            <m:oMath>
              <m:sSup>
                <m:e>
                  <m:r>
                    <m:t>​</m:t>
                  </m:r>
                </m:e>
                <m:sup>
                  <m:r>
                    <m:t>b</m:t>
                  </m:r>
                </m:sup>
              </m:sSup>
            </m:oMath>
          </w:p>
        </w:tc>
        <w:tc>
          <w:tcPr>
            <w:vAlign w:val="center"/>
          </w:tcPr>
          <w:p>
            <w:pPr>
              <w:pStyle w:val="MDPI42tablebody"/>
              <w:jc w:val="center"/>
            </w:pPr>
            <w:r>
              <w:t xml:space="preserve">0.55 / 0.15 / 0.55</w:t>
            </w:r>
          </w:p>
        </w:tc>
        <w:tc>
          <w:tcPr>
            <w:vAlign w:val="center"/>
          </w:tcPr>
          <w:p>
            <w:pPr>
              <w:pStyle w:val="MDPI42tablebody"/>
              <w:jc w:val="center"/>
            </w:pPr>
            <w:r>
              <w:t xml:space="preserve">as above</w:t>
            </w:r>
          </w:p>
        </w:tc>
      </w:tr>
      <w:tr>
        <w:tc>
          <w:tcPr>
            <w:vAlign w:val="center"/>
          </w:tcPr>
          <w:p>
            <w:pPr>
              <w:pStyle w:val="MDPI42tablebody"/>
              <w:jc w:val="center"/>
            </w:pPr>
            <w:r>
              <w:t xml:space="preserve">The same change under STLSQ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3.83</m:t>
              </m:r>
            </m:oMath>
            <w:r>
              <w:t xml:space="preserve"> </w:t>
            </w:r>
            <w:r>
              <w:t xml:space="preserve">/ – /</w:t>
            </w:r>
            <w:r>
              <w:t xml:space="preserve"> </w:t>
            </w:r>
            <m:oMath>
              <m:r>
                <m:rPr>
                  <m:sty m:val="p"/>
                </m:rPr>
                <m:t>+</m:t>
              </m:r>
              <m:r>
                <m:t>2.48</m:t>
              </m:r>
            </m:oMath>
          </w:p>
        </w:tc>
        <w:tc>
          <w:tcPr>
            <w:vAlign w:val="center"/>
          </w:tcPr>
          <w:p>
            <w:pPr>
              <w:pStyle w:val="MDPI42tablebody"/>
              <w:jc w:val="center"/>
            </w:pPr>
            <w:r>
              <w:t xml:space="preserve">as above</w:t>
            </w:r>
          </w:p>
        </w:tc>
      </w:tr>
      <w:tr>
        <w:tc>
          <w:tcPr>
            <w:gridSpan w:val="3"/>
            <w:vAlign w:val="center"/>
          </w:tcPr>
          <w:p>
            <w:pPr>
              <w:pStyle w:val="MDPI42tablebody"/>
              <w:jc w:val="center"/>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vAlign w:val="center"/>
          </w:tcPr>
          <w:p>
            <w:pPr>
              <w:pStyle w:val="MDPI42tablebody"/>
              <w:jc w:val="center"/>
            </w:pPr>
            <w:r>
              <w:t xml:space="preserve">stage cost; PPO, SAC, the heuristic and the full-model planner have no MPC stage cost and are</w:t>
            </w:r>
          </w:p>
        </w:tc>
      </w:tr>
      <w:tr>
        <w:tc>
          <w:tcPr>
            <w:gridSpan w:val="3"/>
            <w:vAlign w:val="center"/>
          </w:tcPr>
          <w:p>
            <w:pPr>
              <w:pStyle w:val="MDPI42tablebody"/>
              <w:jc w:val="center"/>
            </w:pPr>
            <w:r>
              <w:t xml:space="preserve">quoted from the canonical wave.</w:t>
            </w:r>
          </w:p>
        </w:tc>
      </w:tr>
      <w:tr>
        <w:tc>
          <w:tcPr>
            <w:vAlign w:val="center"/>
          </w:tcPr>
          <w:p>
            <w:pPr>
              <w:pStyle w:val="MDPI42tablebody"/>
              <w:jc w:val="center"/>
            </w:pPr>
            <w:r>
              <w:t xml:space="preserve">Raw-library ensemble MPC (EUR m</w:t>
            </w:r>
            <m:oMath>
              <m:sSup>
                <m:e>
                  <m:r>
                    <m:t>​</m:t>
                  </m:r>
                </m:e>
                <m:sup>
                  <m:r>
                    <m:rPr>
                      <m:sty m:val="p"/>
                    </m:rPr>
                    <m:t>−</m:t>
                  </m:r>
                  <m:r>
                    <m:t>2</m:t>
                  </m:r>
                </m:sup>
              </m:sSup>
            </m:oMath>
            <w:r>
              <w:t xml:space="preserve">; violation steps)</w:t>
            </w:r>
          </w:p>
        </w:tc>
        <w:tc>
          <w:tcPr>
            <w:vAlign w:val="center"/>
          </w:tcPr>
          <w:p>
            <w:pPr>
              <w:pStyle w:val="MDPI42tablebody"/>
              <w:jc w:val="center"/>
            </w:pPr>
            <m:oMath>
              <m:r>
                <m:rPr>
                  <m:sty m:val="p"/>
                </m:rPr>
                <m:t>+</m:t>
              </m:r>
              <m:r>
                <m:t>4.32</m:t>
              </m:r>
              <m:r>
                <m:rPr>
                  <m:sty m:val="p"/>
                </m:rPr>
                <m:t>±</m:t>
              </m:r>
              <m:r>
                <m:t>4.08</m:t>
              </m:r>
            </m:oMath>
            <w:r>
              <w:t xml:space="preserve">; 4130</w:t>
            </w:r>
          </w:p>
        </w:tc>
        <w:tc>
          <w:tcPr>
            <w:vAlign w:val="center"/>
          </w:tcPr>
          <w:p>
            <w:pPr>
              <w:pStyle w:val="MDPI42tablebody"/>
              <w:jc w:val="center"/>
            </w:pPr>
            <w:r>
              <w:rPr>
                <w:rStyle w:val="VerbatimChar"/>
              </w:rPr>
              <w:t xml:space="preserve">priced_main/*.csv</w:t>
            </w:r>
          </w:p>
        </w:tc>
      </w:tr>
      <w:tr>
        <w:tc>
          <w:tcPr>
            <w:vAlign w:val="center"/>
          </w:tcPr>
          <w:p>
            <w:pPr>
              <w:pStyle w:val="MDPI42tablebody"/>
              <w:jc w:val="center"/>
            </w:pPr>
            <w:r>
              <w:t xml:space="preserve">Best physics-informed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rPr>
                <w:rStyle w:val="VerbatimChar"/>
              </w:rPr>
              <w:t xml:space="preserve">priced_main/*.csv</w:t>
            </w:r>
          </w:p>
        </w:tc>
      </w:tr>
      <w:tr>
        <w:tc>
          <w:tcPr>
            <w:vAlign w:val="center"/>
          </w:tcPr>
          <w:p>
            <w:pPr>
              <w:pStyle w:val="MDPI42tablebody"/>
              <w:jc w:val="center"/>
            </w:pPr>
            <w:r>
              <w:t xml:space="preserve">Raw ensemble vs. that variant</w:t>
            </w:r>
          </w:p>
        </w:tc>
        <w:tc>
          <w:tcPr>
            <w:vAlign w:val="center"/>
          </w:tcPr>
          <w:p>
            <w:pPr>
              <w:pStyle w:val="MDPI42tablebody"/>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center"/>
          </w:tcPr>
          <w:p>
            <w:pPr>
              <w:pStyle w:val="MDPI42tablebody"/>
              <w:jc w:val="center"/>
            </w:pPr>
            <w:r>
              <w:t xml:space="preserve">recomputed over the family of 15</w:t>
            </w:r>
          </w:p>
        </w:tc>
      </w:tr>
      <w:tr>
        <w:tc>
          <w:tcPr>
            <w:vAlign w:val="center"/>
          </w:tcPr>
          <w:p>
            <w:pPr>
              <w:pStyle w:val="MDPI42tablebody"/>
              <w:jc w:val="center"/>
            </w:pPr>
            <w:r>
              <w:t xml:space="preserve">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Stock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PPO (EUR m</w:t>
            </w:r>
            <m:oMath>
              <m:sSup>
                <m:e>
                  <m:r>
                    <m:t>​</m:t>
                  </m:r>
                </m:e>
                <m:sup>
                  <m:r>
                    <m:rPr>
                      <m:sty m:val="p"/>
                    </m:rPr>
                    <m:t>−</m:t>
                  </m:r>
                  <m:r>
                    <m:t>2</m:t>
                  </m:r>
                </m:sup>
              </m:sSup>
            </m:oMath>
            <w:r>
              <w:t xml:space="preserve">; violation steps)</w:t>
            </w:r>
          </w:p>
        </w:tc>
        <w:tc>
          <w:tcPr>
            <w:vAlign w:val="center"/>
          </w:tcPr>
          <w:p>
            <w:pPr>
              <w:pStyle w:val="MDPI42tablebody"/>
              <w:jc w:val="center"/>
            </w:pPr>
            <m:oMath>
              <m:r>
                <m:rPr>
                  <m:sty m:val="p"/>
                </m:rPr>
                <m:t>+</m:t>
              </m:r>
              <m:r>
                <m:t>0.45</m:t>
              </m:r>
              <m:r>
                <m:rPr>
                  <m:sty m:val="p"/>
                </m:rPr>
                <m:t>±</m:t>
              </m:r>
              <m:r>
                <m:t>2.97</m:t>
              </m:r>
            </m:oMath>
            <w:r>
              <w:t xml:space="preserve">; 1330</w:t>
            </w:r>
          </w:p>
        </w:tc>
        <w:tc>
          <w:tcPr>
            <w:vAlign w:val="center"/>
          </w:tcPr>
          <w:p>
            <w:pPr>
              <w:pStyle w:val="MDPI42tablebody"/>
              <w:jc w:val="center"/>
            </w:pPr>
            <w:r>
              <w:rPr>
                <w:rStyle w:val="VerbatimChar"/>
              </w:rPr>
              <w:t xml:space="preserve">final/main.csv</w:t>
            </w:r>
          </w:p>
        </w:tc>
      </w:tr>
      <w:tr>
        <w:tc>
          <w:tcPr>
            <w:gridSpan w:val="3"/>
            <w:vAlign w:val="center"/>
          </w:tcPr>
          <w:p>
            <w:pPr>
              <w:pStyle w:val="MDPI42tablebody"/>
              <w:jc w:val="center"/>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center"/>
          </w:tcPr>
          <w:p>
            <w:pPr>
              <w:pStyle w:val="MDPI42tablebody"/>
              <w:jc w:val="center"/>
            </w:pPr>
            <w:r>
              <w:t xml:space="preserve">Raw-library ensemble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6.42</m:t>
              </m:r>
              <m:r>
                <m:rPr>
                  <m:sty m:val="p"/>
                </m:rPr>
                <m:t>±</m:t>
              </m:r>
              <m:r>
                <m:t>0.95</m:t>
              </m:r>
            </m:oMath>
            <w:r>
              <w:t xml:space="preserve">​</w:t>
            </w:r>
          </w:p>
        </w:tc>
        <w:tc>
          <w:tcPr>
            <w:vAlign w:val="center"/>
          </w:tcPr>
          <w:p>
            <w:pPr>
              <w:pStyle w:val="MDPI42tablebody"/>
              <w:jc w:val="center"/>
            </w:pPr>
            <w:r>
              <w:rPr>
                <w:rStyle w:val="VerbatimChar"/>
              </w:rPr>
              <w:t xml:space="preserve">n5_years/main_n5.csv</w:t>
            </w:r>
          </w:p>
        </w:tc>
      </w:tr>
      <w:tr>
        <w:tc>
          <w:tcPr>
            <w:vAlign w:val="center"/>
          </w:tcPr>
          <w:p>
            <w:pPr>
              <w:pStyle w:val="MDPI42tablebody"/>
              <w:jc w:val="center"/>
            </w:pPr>
            <w:r>
              <w:t xml:space="preserve">Untuned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rPr>
                <w:rStyle w:val="VerbatimChar"/>
              </w:rPr>
              <w:t xml:space="preserve">n5_years/main_n5.csv</w:t>
            </w:r>
          </w:p>
        </w:tc>
      </w:tr>
      <w:tr>
        <w:tc>
          <w:tcPr>
            <w:gridSpan w:val="3"/>
            <w:vAlign w:val="center"/>
          </w:tcPr>
          <w:p>
            <w:pPr>
              <w:pStyle w:val="MDPI42tablebody"/>
              <w:jc w:val="center"/>
            </w:pPr>
            <w:r>
              <w:rPr>
                <w:i/>
                <w:iCs/>
              </w:rPr>
              <w:t xml:space="preserve">Benchmarking safeguards, mechanism and robustness</w:t>
            </w:r>
          </w:p>
        </w:tc>
      </w:tr>
      <w:tr>
        <w:tc>
          <w:tcPr>
            <w:vAlign w:val="center"/>
          </w:tcPr>
          <w:p>
            <w:pPr>
              <w:pStyle w:val="MDPI42tablebody"/>
              <w:jc w:val="center"/>
            </w:pPr>
            <w:r>
              <w:t xml:space="preserve">Gain from tuning the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3.49</m:t>
              </m:r>
            </m:oMath>
            <w:r>
              <w:t xml:space="preserve">​</w:t>
            </w:r>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3.66</m:t>
              </m:r>
              <m:r>
                <m:rPr>
                  <m:sty m:val="p"/>
                </m:rPr>
                <m:t>→</m:t>
              </m:r>
              <m:r>
                <m:rPr>
                  <m:sty m:val="p"/>
                </m:rPr>
                <m:t>+</m:t>
              </m:r>
              <m:r>
                <m:t>1.23</m:t>
              </m:r>
            </m:oMath>
            <w:r>
              <w:t xml:space="preserve">​</w:t>
            </w:r>
          </w:p>
        </w:tc>
        <w:tc>
          <w:tcPr>
            <w:vAlign w:val="center"/>
          </w:tcPr>
          <w:p>
            <w:pPr>
              <w:pStyle w:val="MDPI42tablebody"/>
              <w:jc w:val="center"/>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center"/>
          </w:tcPr>
          <w:p>
            <w:pPr>
              <w:pStyle w:val="MDPI42tablebody"/>
              <w:jc w:val="center"/>
            </w:pPr>
            <w:r>
              <w:t xml:space="preserve">Boiler-coefficient knock-in, priced: median / mean</w:t>
            </w:r>
          </w:p>
        </w:tc>
        <w:tc>
          <w:tcPr>
            <w:vAlign w:val="center"/>
          </w:tcPr>
          <w:p>
            <w:pPr>
              <w:pStyle w:val="MDPI42tablebody"/>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center"/>
          </w:tcPr>
          <w:p>
            <w:pPr>
              <w:pStyle w:val="MDPI42tablebody"/>
              <w:jc w:val="center"/>
            </w:pPr>
            <w:r>
              <w:rPr>
                <w:rStyle w:val="VerbatimChar"/>
              </w:rPr>
              <w:t xml:space="preserve">priced_mech/ mechanism_pricedMech*.csv</w:t>
            </w:r>
          </w:p>
        </w:tc>
      </w:tr>
      <w:tr>
        <w:tc>
          <w:tcPr>
            <w:vAlign w:val="center"/>
          </w:tcPr>
          <w:p>
            <w:pPr>
              <w:pStyle w:val="MDPI42tablebody"/>
              <w:jc w:val="center"/>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vAlign w:val="center"/>
          </w:tcPr>
          <w:p>
            <w:pPr>
              <w:pStyle w:val="MDPI42tablebody"/>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center"/>
          </w:tcPr>
          <w:p>
            <w:pPr>
              <w:pStyle w:val="MDPI42tablebody"/>
              <w:jc w:val="center"/>
            </w:pPr>
            <w:r>
              <w:rPr>
                <w:rStyle w:val="VerbatimChar"/>
              </w:rPr>
              <w:t xml:space="preserve">design_priced_real/ design_designPriced.csv</w:t>
            </w:r>
          </w:p>
        </w:tc>
      </w:tr>
    </w:tbl>
    <w:bookmarkEnd w:id="87"/>
    <w:p>
      <w:pPr>
        <w:pStyle w:val="MDPI31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126022" cy="2311187"/>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126022" cy="2311187"/>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 – 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 – 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[36–37].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w:t>
      </w:r>
    </w:p>
    <w:bookmarkEnd w:id="91"/>
    <w:bookmarkStart w:id="125"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MDPI81references"/>
      </w:pPr>
      <w:r>
        <w:t>Zippenfenig, P. Open-Meteo.com Weather API, 2023; Zenodo (concept DOI, all versions).</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2026-09-09T08:29:22Z</dcterms:created>
  <dcterms:modified xsi:type="dcterms:W3CDTF">2026-09-09T08:29:22Z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fifteen controllers were compared over four 60-day test seasons with up to 20 identification replicates. Outcomes were simulated seasonal margin and climate-corridor violations. One-step accuracy and multi-step stability ranked the feature libraries oppositely: physically motivated features reduced one-step temperature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