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  <w:t xml:space="preserve">Plan de la séance </w:t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6"/>
        </w:numPr>
        <w:ind w:hanging="360" w:start="720"/>
        <w:rPr/>
      </w:pPr>
      <w:r>
        <w:rPr/>
        <w:t>Les documents officiels de la formation de formateur numérique</w:t>
      </w:r>
    </w:p>
    <w:p>
      <w:pPr>
        <w:pStyle w:val="Normal1"/>
        <w:numPr>
          <w:ilvl w:val="0"/>
          <w:numId w:val="6"/>
        </w:numPr>
        <w:ind w:hanging="360" w:start="720"/>
        <w:rPr>
          <w:u w:val="none"/>
        </w:rPr>
      </w:pPr>
      <w:r>
        <w:rPr/>
        <w:t>La dynamique de groupe</w:t>
      </w:r>
    </w:p>
    <w:p>
      <w:pPr>
        <w:pStyle w:val="Normal1"/>
        <w:numPr>
          <w:ilvl w:val="0"/>
          <w:numId w:val="6"/>
        </w:numPr>
        <w:ind w:hanging="360" w:start="720"/>
        <w:rPr>
          <w:u w:val="none"/>
        </w:rPr>
      </w:pPr>
      <w:r>
        <w:rPr/>
        <w:t>Découverte de l’autre et établissement des règles de vie</w:t>
      </w:r>
    </w:p>
    <w:p>
      <w:pPr>
        <w:pStyle w:val="Normal1"/>
        <w:ind w:hanging="0" w:start="720"/>
        <w:rPr/>
      </w:pPr>
      <w:r>
        <w:rPr/>
      </w:r>
    </w:p>
    <w:p>
      <w:pPr>
        <w:pStyle w:val="Normal1"/>
        <w:ind w:hanging="0" w:start="720"/>
        <w:rPr/>
      </w:pPr>
      <w:r>
        <w:rPr/>
      </w:r>
    </w:p>
    <w:p>
      <w:pPr>
        <w:pStyle w:val="Normal1"/>
        <w:numPr>
          <w:ilvl w:val="0"/>
          <w:numId w:val="4"/>
        </w:numPr>
        <w:ind w:hanging="360" w:start="720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Les documents officiels de la formation de formateur numérique 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  <w:u w:val="single"/>
        </w:rPr>
        <w:t>Activité 1</w:t>
      </w:r>
      <w:r>
        <w:rPr>
          <w:b/>
        </w:rPr>
        <w:t xml:space="preserve"> : Les documents officiels de la formation de formateur numérique </w:t>
      </w:r>
    </w:p>
    <w:p>
      <w:pPr>
        <w:pStyle w:val="Normal1"/>
        <w:numPr>
          <w:ilvl w:val="0"/>
          <w:numId w:val="9"/>
        </w:numPr>
        <w:ind w:hanging="360" w:start="720"/>
        <w:rPr>
          <w:b/>
          <w:u w:val="none"/>
        </w:rPr>
      </w:pPr>
      <w:r>
        <w:rPr>
          <w:b/>
          <w:u w:val="single"/>
        </w:rPr>
        <w:t xml:space="preserve">Liste des documents officiels </w:t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tbl>
      <w:tblPr>
        <w:tblStyle w:val="Table1"/>
        <w:tblW w:w="9029" w:type="dxa"/>
        <w:jc w:val="start"/>
        <w:tblInd w:w="11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hanging="360" w:start="720" w:end="0"/>
              <w:jc w:val="start"/>
              <w:rPr>
                <w:b/>
                <w:u w:val="none"/>
              </w:rPr>
            </w:pPr>
            <w:r>
              <w:rPr>
                <w:b/>
                <w:u w:val="none"/>
              </w:rPr>
              <w:t xml:space="preserve">Reac, fiche de communication </w:t>
            </w:r>
            <w:r>
              <w:rPr>
                <w:b/>
                <w:u w:val="none"/>
              </w:rPr>
              <w:t>et</w:t>
            </w:r>
            <w:r>
              <w:rPr>
                <w:b/>
                <w:u w:val="none"/>
              </w:rPr>
              <w:t xml:space="preserve"> référentiel certification</w:t>
            </w:r>
          </w:p>
        </w:tc>
      </w:tr>
    </w:tbl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9"/>
        </w:numPr>
        <w:ind w:hanging="360" w:start="720"/>
        <w:rPr>
          <w:b/>
          <w:u w:val="none"/>
        </w:rPr>
      </w:pPr>
      <w:r>
        <w:rPr>
          <w:b/>
          <w:u w:val="single"/>
        </w:rPr>
        <w:t xml:space="preserve">Analyse du référentiel emploi activités compétences (REAC) du titre FPA  </w:t>
      </w:r>
    </w:p>
    <w:p>
      <w:pPr>
        <w:pStyle w:val="Normal1"/>
        <w:rPr/>
      </w:pPr>
      <w:r>
        <w:rPr/>
      </w:r>
    </w:p>
    <w:tbl>
      <w:tblPr>
        <w:tblStyle w:val="Table2"/>
        <w:tblW w:w="9150" w:type="dxa"/>
        <w:jc w:val="start"/>
        <w:tblInd w:w="-41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1619"/>
        <w:gridCol w:w="7530"/>
      </w:tblGrid>
      <w:tr>
        <w:trPr/>
        <w:tc>
          <w:tcPr>
            <w:tcW w:w="16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Rubriques clés du REAC</w:t>
            </w:r>
          </w:p>
        </w:tc>
        <w:tc>
          <w:tcPr>
            <w:tcW w:w="75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sommaire du document reac :</w:t>
            </w:r>
          </w:p>
          <w:p>
            <w:pPr>
              <w:pStyle w:val="Normal"/>
              <w:jc w:val="start"/>
              <w:rPr>
                <w:rFonts w:ascii="ArialMT" w:hAnsi="ArialMT"/>
                <w:sz w:val="22"/>
              </w:rPr>
            </w:pPr>
            <w:r>
              <w:rPr>
                <w:rFonts w:ascii="ArialMT" w:hAnsi="ArialMT"/>
                <w:sz w:val="22"/>
              </w:rPr>
              <w:t>Liste des activités</w:t>
            </w:r>
          </w:p>
          <w:p>
            <w:pPr>
              <w:pStyle w:val="Normal"/>
              <w:jc w:val="start"/>
              <w:rPr>
                <w:rFonts w:ascii="ArialMT" w:hAnsi="ArialMT"/>
                <w:sz w:val="22"/>
              </w:rPr>
            </w:pPr>
            <w:r>
              <w:rPr>
                <w:rFonts w:ascii="ArialMT" w:hAnsi="ArialMT"/>
                <w:sz w:val="22"/>
              </w:rPr>
              <w:t>Fiche emploi type</w:t>
            </w:r>
          </w:p>
          <w:p>
            <w:pPr>
              <w:pStyle w:val="Normal"/>
              <w:jc w:val="start"/>
              <w:rPr>
                <w:rFonts w:ascii="ArialMT" w:hAnsi="ArialMT"/>
                <w:sz w:val="22"/>
              </w:rPr>
            </w:pPr>
            <w:r>
              <w:rPr>
                <w:rFonts w:ascii="ArialMT" w:hAnsi="ArialMT"/>
                <w:sz w:val="22"/>
              </w:rPr>
              <w:t>Fiches activités types de l’emploi</w:t>
            </w:r>
          </w:p>
          <w:p>
            <w:pPr>
              <w:pStyle w:val="Normal"/>
              <w:jc w:val="start"/>
              <w:rPr>
                <w:rFonts w:ascii="ArialMT" w:hAnsi="ArialMT"/>
                <w:sz w:val="22"/>
              </w:rPr>
            </w:pPr>
            <w:r>
              <w:rPr>
                <w:rFonts w:ascii="ArialMT" w:hAnsi="ArialMT"/>
                <w:sz w:val="22"/>
              </w:rPr>
              <w:t>Fiches compétences professionnelles de l’emploi</w:t>
            </w:r>
          </w:p>
          <w:p>
            <w:pPr>
              <w:pStyle w:val="Normal"/>
              <w:jc w:val="start"/>
              <w:rPr>
                <w:rFonts w:ascii="ArialMT" w:hAnsi="ArialMT"/>
                <w:sz w:val="22"/>
              </w:rPr>
            </w:pPr>
            <w:r>
              <w:rPr>
                <w:rFonts w:ascii="ArialMT" w:hAnsi="ArialMT"/>
                <w:sz w:val="22"/>
              </w:rPr>
              <w:t>Fiche compétences transversales de l’emploi</w:t>
            </w:r>
          </w:p>
          <w:p>
            <w:pPr>
              <w:pStyle w:val="Normal"/>
              <w:jc w:val="start"/>
              <w:rPr>
                <w:rFonts w:ascii="ArialMT" w:hAnsi="ArialMT"/>
                <w:sz w:val="22"/>
              </w:rPr>
            </w:pPr>
            <w:r>
              <w:rPr>
                <w:rFonts w:ascii="ArialMT" w:hAnsi="ArialMT"/>
                <w:sz w:val="22"/>
              </w:rPr>
              <w:t>Glossaire technique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MT" w:hAnsi="ArialMT"/>
                <w:sz w:val="22"/>
                <w:szCs w:val="20"/>
              </w:rPr>
              <w:t>Glossaire du REAC</w:t>
            </w:r>
          </w:p>
        </w:tc>
      </w:tr>
      <w:tr>
        <w:trPr/>
        <w:tc>
          <w:tcPr>
            <w:tcW w:w="16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d'activités types et de compétences</w:t>
            </w:r>
          </w:p>
        </w:tc>
        <w:tc>
          <w:tcPr>
            <w:tcW w:w="75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4 activités types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13 competences</w:t>
            </w:r>
          </w:p>
        </w:tc>
      </w:tr>
      <w:tr>
        <w:trPr/>
        <w:tc>
          <w:tcPr>
            <w:tcW w:w="16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Liste d’activités type</w:t>
            </w:r>
          </w:p>
        </w:tc>
        <w:tc>
          <w:tcPr>
            <w:tcW w:w="75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- Concevoir et préparer la formation</w:t>
            </w:r>
          </w:p>
          <w:p>
            <w:pPr>
              <w:pStyle w:val="Normal"/>
              <w:rPr/>
            </w:pPr>
            <w:r>
              <w:rPr/>
              <w:t>- Animer une formation et évaluer les acquis des apprenants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- Accompagner les apprenants en formation</w:t>
            </w:r>
          </w:p>
          <w:p>
            <w:pPr>
              <w:pStyle w:val="Normal"/>
              <w:jc w:val="start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  <w:t>- Inscrire sa pratique professionnelle dans une démarche de qualité et de responsabilité sociale des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entreprises</w:t>
            </w:r>
          </w:p>
        </w:tc>
      </w:tr>
      <w:tr>
        <w:trPr/>
        <w:tc>
          <w:tcPr>
            <w:tcW w:w="16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Compétences transversales de l’emploi</w:t>
            </w:r>
          </w:p>
        </w:tc>
        <w:tc>
          <w:tcPr>
            <w:tcW w:w="75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jc w:val="start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  <w:t>Communiquer</w:t>
            </w:r>
          </w:p>
          <w:p>
            <w:pPr>
              <w:pStyle w:val="Normal"/>
              <w:jc w:val="start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  <w:t>Adopter un comportement orienté vers l'autre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Organiser ses actions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9"/>
        </w:numPr>
        <w:ind w:hanging="360" w:start="720"/>
        <w:rPr>
          <w:b/>
          <w:u w:val="none"/>
        </w:rPr>
      </w:pPr>
      <w:r>
        <w:rPr>
          <w:b/>
          <w:u w:val="single"/>
        </w:rPr>
        <w:t xml:space="preserve">Définitions des termes </w:t>
      </w:r>
    </w:p>
    <w:p>
      <w:pPr>
        <w:pStyle w:val="Normal1"/>
        <w:ind w:hanging="0" w:start="720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ind w:hanging="0" w:start="0"/>
        <w:rPr>
          <w:b/>
          <w:u w:val="single"/>
        </w:rPr>
      </w:pPr>
      <w:r>
        <w:rPr>
          <w:b/>
          <w:u w:val="single"/>
        </w:rPr>
        <w:t>Activité type</w:t>
      </w:r>
    </w:p>
    <w:p>
      <w:pPr>
        <w:pStyle w:val="Normal"/>
        <w:jc w:val="start"/>
        <w:rPr>
          <w:rFonts w:ascii="ArialMT" w:hAnsi="ArialMT"/>
          <w:sz w:val="20"/>
        </w:rPr>
      </w:pPr>
      <w:r>
        <w:rPr/>
      </w:r>
    </w:p>
    <w:p>
      <w:pPr>
        <w:pStyle w:val="Normal"/>
        <w:jc w:val="start"/>
        <w:rPr>
          <w:rFonts w:ascii="ArialMT" w:hAnsi="ArialMT"/>
          <w:sz w:val="20"/>
        </w:rPr>
      </w:pPr>
      <w:r>
        <w:rPr>
          <w:rFonts w:ascii="ArialMT" w:hAnsi="ArialMT"/>
          <w:sz w:val="20"/>
        </w:rPr>
        <w:t>Une activité type est un bloc de compétences qui résulte de l’agrégation de tâches (ce</w:t>
      </w:r>
    </w:p>
    <w:p>
      <w:pPr>
        <w:pStyle w:val="Normal"/>
        <w:jc w:val="start"/>
        <w:rPr>
          <w:rFonts w:ascii="ArialMT" w:hAnsi="ArialMT"/>
          <w:sz w:val="20"/>
        </w:rPr>
      </w:pPr>
      <w:r>
        <w:rPr>
          <w:rFonts w:ascii="ArialMT" w:hAnsi="ArialMT"/>
          <w:sz w:val="20"/>
        </w:rPr>
        <w:t>qu’il y a à faire dans l’emploi) dont les missions et finalités sont suffisamment proches</w:t>
      </w:r>
    </w:p>
    <w:p>
      <w:pPr>
        <w:pStyle w:val="Normal"/>
        <w:ind w:hanging="0" w:start="0"/>
        <w:rPr/>
      </w:pPr>
      <w:r>
        <w:rPr>
          <w:rFonts w:ascii="ArialMT" w:hAnsi="ArialMT"/>
          <w:sz w:val="20"/>
        </w:rPr>
        <w:t>pour être regroupées. Elle renvoie au certificat de compétences professionnelles (CCP).</w:t>
      </w:r>
    </w:p>
    <w:p>
      <w:pPr>
        <w:pStyle w:val="Normal1"/>
        <w:ind w:hanging="0" w:start="0"/>
        <w:rPr/>
      </w:pPr>
      <w:r>
        <w:rPr/>
      </w:r>
    </w:p>
    <w:p>
      <w:pPr>
        <w:pStyle w:val="Normal1"/>
        <w:widowControl w:val="false"/>
        <w:spacing w:lineRule="auto" w:line="240"/>
        <w:rPr>
          <w:b/>
          <w:u w:val="single"/>
        </w:rPr>
      </w:pPr>
      <w:r>
        <w:rPr>
          <w:b/>
          <w:u w:val="single"/>
        </w:rPr>
        <w:t>Compétence professionnelle</w:t>
      </w:r>
    </w:p>
    <w:p>
      <w:pPr>
        <w:pStyle w:val="Normal"/>
        <w:jc w:val="start"/>
        <w:rPr>
          <w:rFonts w:ascii="ArialMT" w:hAnsi="ArialMT"/>
          <w:sz w:val="20"/>
        </w:rPr>
      </w:pPr>
      <w:r>
        <w:rPr>
          <w:rFonts w:ascii="ArialMT" w:hAnsi="ArialMT"/>
          <w:sz w:val="20"/>
        </w:rPr>
        <w:t>La compétence professionnelle se traduit par une capacité à combiner un ensemble de</w:t>
      </w:r>
    </w:p>
    <w:p>
      <w:pPr>
        <w:pStyle w:val="Normal"/>
        <w:jc w:val="start"/>
        <w:rPr>
          <w:rFonts w:ascii="ArialMT" w:hAnsi="ArialMT"/>
          <w:sz w:val="20"/>
        </w:rPr>
      </w:pPr>
      <w:r>
        <w:rPr>
          <w:rFonts w:ascii="ArialMT" w:hAnsi="ArialMT"/>
          <w:sz w:val="20"/>
        </w:rPr>
        <w:t>savoirs, savoir-faire, comportements, conduites, procédures, type de raisonnement, en</w:t>
      </w:r>
    </w:p>
    <w:p>
      <w:pPr>
        <w:pStyle w:val="Normal"/>
        <w:jc w:val="start"/>
        <w:rPr>
          <w:rFonts w:ascii="ArialMT" w:hAnsi="ArialMT"/>
          <w:sz w:val="20"/>
        </w:rPr>
      </w:pPr>
      <w:r>
        <w:rPr>
          <w:rFonts w:ascii="ArialMT" w:hAnsi="ArialMT"/>
          <w:sz w:val="20"/>
        </w:rPr>
        <w:t>vue de réaliser une tâche ou une activité. Elle a toujours une finalité professionnelle. Le</w:t>
      </w:r>
    </w:p>
    <w:p>
      <w:pPr>
        <w:pStyle w:val="Normal"/>
        <w:widowControl w:val="false"/>
        <w:spacing w:lineRule="auto" w:line="240"/>
        <w:rPr/>
      </w:pPr>
      <w:r>
        <w:rPr>
          <w:rFonts w:ascii="ArialMT" w:hAnsi="ArialMT"/>
          <w:sz w:val="20"/>
        </w:rPr>
        <w:t>résultat de sa mise en oeuvre est évaluable.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>
          <w:b/>
          <w:u w:val="single"/>
        </w:rPr>
      </w:pPr>
      <w:r>
        <w:rPr>
          <w:b/>
          <w:u w:val="single"/>
        </w:rPr>
        <w:t>Compétence transversale</w:t>
      </w:r>
    </w:p>
    <w:p>
      <w:pPr>
        <w:pStyle w:val="Normal"/>
        <w:jc w:val="start"/>
        <w:rPr>
          <w:rFonts w:ascii="ArialMT" w:hAnsi="ArialMT"/>
          <w:sz w:val="20"/>
        </w:rPr>
      </w:pPr>
      <w:r>
        <w:rPr>
          <w:rFonts w:ascii="ArialMT" w:hAnsi="ArialMT"/>
          <w:sz w:val="20"/>
        </w:rPr>
        <w:t>La compétence transversale désigne une compétence générique commune aux</w:t>
      </w:r>
    </w:p>
    <w:p>
      <w:pPr>
        <w:pStyle w:val="Normal"/>
        <w:jc w:val="start"/>
        <w:rPr>
          <w:rFonts w:ascii="ArialMT" w:hAnsi="ArialMT"/>
          <w:sz w:val="20"/>
        </w:rPr>
      </w:pPr>
      <w:r>
        <w:rPr>
          <w:rFonts w:ascii="ArialMT" w:hAnsi="ArialMT"/>
          <w:sz w:val="20"/>
        </w:rPr>
        <w:t>diverses situations professionnelles de l’emploi type. Parmi les compétences</w:t>
      </w:r>
    </w:p>
    <w:p>
      <w:pPr>
        <w:pStyle w:val="Normal"/>
        <w:jc w:val="start"/>
        <w:rPr>
          <w:rFonts w:ascii="ArialMT" w:hAnsi="ArialMT"/>
          <w:sz w:val="20"/>
        </w:rPr>
      </w:pPr>
      <w:r>
        <w:rPr>
          <w:rFonts w:ascii="ArialMT" w:hAnsi="ArialMT"/>
          <w:sz w:val="20"/>
        </w:rPr>
        <w:t>transversales, on peut recenser les compétences correspondant :</w:t>
      </w:r>
    </w:p>
    <w:p>
      <w:pPr>
        <w:pStyle w:val="Normal"/>
        <w:jc w:val="start"/>
        <w:rPr>
          <w:rFonts w:ascii="ArialMT" w:hAnsi="ArialMT"/>
          <w:sz w:val="20"/>
        </w:rPr>
      </w:pPr>
      <w:r>
        <w:rPr>
          <w:rFonts w:ascii="SymbolMT" w:hAnsi="SymbolMT"/>
          <w:sz w:val="24"/>
        </w:rPr>
        <w:t xml:space="preserve"> </w:t>
      </w:r>
      <w:r>
        <w:rPr>
          <w:rFonts w:ascii="ArialMT" w:hAnsi="ArialMT"/>
          <w:sz w:val="20"/>
        </w:rPr>
        <w:t>à des savoirs de base,</w:t>
      </w:r>
    </w:p>
    <w:p>
      <w:pPr>
        <w:pStyle w:val="Normal"/>
        <w:jc w:val="start"/>
        <w:rPr>
          <w:rFonts w:ascii="ArialMT" w:hAnsi="ArialMT"/>
          <w:sz w:val="20"/>
        </w:rPr>
      </w:pPr>
      <w:r>
        <w:rPr>
          <w:rFonts w:ascii="SymbolMT" w:hAnsi="SymbolMT"/>
          <w:sz w:val="24"/>
        </w:rPr>
        <w:t xml:space="preserve"> </w:t>
      </w:r>
      <w:r>
        <w:rPr>
          <w:rFonts w:ascii="ArialMT" w:hAnsi="ArialMT"/>
          <w:sz w:val="20"/>
        </w:rPr>
        <w:t>à des attitudes comportementales et/ou organisationnelles.</w:t>
      </w:r>
    </w:p>
    <w:p>
      <w:pPr>
        <w:pStyle w:val="Normal"/>
        <w:widowControl w:val="false"/>
        <w:spacing w:lineRule="auto" w:line="240"/>
        <w:rPr>
          <w:rFonts w:ascii="Arial-BoldMT" w:hAnsi="Arial-BoldMT"/>
          <w:b/>
          <w:sz w:val="22"/>
        </w:rPr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>
          <w:b/>
          <w:u w:val="single"/>
        </w:rPr>
      </w:pPr>
      <w:r>
        <w:rPr>
          <w:b/>
          <w:u w:val="single"/>
        </w:rPr>
        <w:t>Emploi type</w:t>
      </w:r>
    </w:p>
    <w:p>
      <w:pPr>
        <w:pStyle w:val="Normal"/>
        <w:jc w:val="start"/>
        <w:rPr>
          <w:rFonts w:ascii="ArialMT" w:hAnsi="ArialMT"/>
          <w:sz w:val="20"/>
        </w:rPr>
      </w:pPr>
      <w:r>
        <w:rPr>
          <w:rFonts w:ascii="ArialMT" w:hAnsi="ArialMT"/>
          <w:sz w:val="20"/>
        </w:rPr>
        <w:t>L’emploi type est un modèle d’emploi représentatif d’un ensemble d’emplois réels</w:t>
      </w:r>
    </w:p>
    <w:p>
      <w:pPr>
        <w:pStyle w:val="Normal"/>
        <w:jc w:val="start"/>
        <w:rPr>
          <w:rFonts w:ascii="ArialMT" w:hAnsi="ArialMT"/>
          <w:sz w:val="20"/>
        </w:rPr>
      </w:pPr>
      <w:r>
        <w:rPr>
          <w:rFonts w:ascii="ArialMT" w:hAnsi="ArialMT"/>
          <w:sz w:val="20"/>
        </w:rPr>
        <w:t>suffisamment proches, en termes de mission, de contenu et d’activités effectuées, pour</w:t>
      </w:r>
    </w:p>
    <w:p>
      <w:pPr>
        <w:pStyle w:val="Normal"/>
        <w:jc w:val="start"/>
        <w:rPr>
          <w:rFonts w:ascii="ArialMT" w:hAnsi="ArialMT"/>
          <w:sz w:val="20"/>
        </w:rPr>
      </w:pPr>
      <w:r>
        <w:rPr>
          <w:rFonts w:ascii="ArialMT" w:hAnsi="ArialMT"/>
          <w:sz w:val="20"/>
        </w:rPr>
        <w:t>être regroupées : il s’agit donc d’une modélisation, résultante d’une agrégation critique</w:t>
      </w:r>
    </w:p>
    <w:p>
      <w:pPr>
        <w:pStyle w:val="Normal"/>
        <w:widowControl w:val="false"/>
        <w:spacing w:lineRule="auto" w:line="240"/>
        <w:rPr/>
      </w:pPr>
      <w:r>
        <w:rPr>
          <w:rFonts w:ascii="ArialMT" w:hAnsi="ArialMT"/>
          <w:sz w:val="20"/>
        </w:rPr>
        <w:t>des emplois.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start="0" w:end="0"/>
        <w:jc w:val="start"/>
        <w:rPr/>
      </w:pPr>
      <w:r>
        <w:rPr>
          <w:b/>
          <w:u w:val="single"/>
        </w:rPr>
        <w:t>Référentiel de certification</w:t>
      </w:r>
      <w:r>
        <w:rPr/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start="0" w:end="0"/>
        <w:jc w:val="start"/>
        <w:rPr/>
      </w:pPr>
      <w:r>
        <w:rPr/>
        <w:t>—</w:t>
      </w: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widowControl w:val="false"/>
        <w:spacing w:lineRule="auto" w:line="240"/>
        <w:rPr/>
      </w:pPr>
      <w:r>
        <w:rPr>
          <w:b/>
          <w:u w:val="single"/>
        </w:rPr>
        <w:t>REAC</w:t>
      </w:r>
    </w:p>
    <w:p>
      <w:pPr>
        <w:pStyle w:val="Normal"/>
        <w:jc w:val="start"/>
        <w:rPr>
          <w:rFonts w:ascii="ArialMT" w:hAnsi="ArialMT"/>
          <w:sz w:val="20"/>
        </w:rPr>
      </w:pPr>
      <w:r>
        <w:rPr>
          <w:rFonts w:ascii="ArialMT" w:hAnsi="ArialMT"/>
          <w:sz w:val="20"/>
        </w:rPr>
        <w:t>Le REAC est un document public à caractère règlementaire (visé par l’arrêté du titre</w:t>
      </w:r>
    </w:p>
    <w:p>
      <w:pPr>
        <w:pStyle w:val="Normal"/>
        <w:jc w:val="start"/>
        <w:rPr>
          <w:rFonts w:ascii="ArialMT" w:hAnsi="ArialMT"/>
          <w:sz w:val="20"/>
        </w:rPr>
      </w:pPr>
      <w:r>
        <w:rPr>
          <w:rFonts w:ascii="ArialMT" w:hAnsi="ArialMT"/>
          <w:sz w:val="20"/>
        </w:rPr>
        <w:t>professionnel) qui s’applique aux titres professionnels du ministère chargé de l’emploi. Il</w:t>
      </w:r>
    </w:p>
    <w:p>
      <w:pPr>
        <w:pStyle w:val="Normal"/>
        <w:jc w:val="start"/>
        <w:rPr>
          <w:rFonts w:ascii="ArialMT" w:hAnsi="ArialMT"/>
          <w:sz w:val="20"/>
        </w:rPr>
      </w:pPr>
      <w:r>
        <w:rPr>
          <w:rFonts w:ascii="ArialMT" w:hAnsi="ArialMT"/>
          <w:sz w:val="20"/>
        </w:rPr>
        <w:t>décrit les repères pour une représentation concrète du métier et des compétences qui</w:t>
      </w:r>
    </w:p>
    <w:p>
      <w:pPr>
        <w:pStyle w:val="Normal"/>
        <w:rPr/>
      </w:pPr>
      <w:r>
        <w:rPr>
          <w:rFonts w:ascii="ArialMT" w:hAnsi="ArialMT"/>
          <w:sz w:val="20"/>
        </w:rPr>
        <w:t>sont regroupées en activités dans un but de certification.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hanging="360" w:start="720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La dynamique de groupe</w:t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  <w:t xml:space="preserve">Activité 3 : Jeu de collaboration </w:t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7"/>
        </w:numPr>
        <w:ind w:hanging="360" w:start="720"/>
        <w:rPr>
          <w:u w:val="none"/>
        </w:rPr>
      </w:pPr>
      <w:r>
        <w:rPr>
          <w:b/>
          <w:u w:val="single"/>
        </w:rPr>
        <w:t xml:space="preserve">Les éléments clés pour une collaboration efficace </w:t>
      </w:r>
    </w:p>
    <w:p>
      <w:pPr>
        <w:pStyle w:val="Normal1"/>
        <w:ind w:hanging="0" w:start="720"/>
        <w:rPr>
          <w:b/>
          <w:u w:val="single"/>
        </w:rPr>
      </w:pPr>
      <w:r>
        <w:rPr>
          <w:b/>
          <w:u w:val="single"/>
        </w:rPr>
      </w:r>
    </w:p>
    <w:tbl>
      <w:tblPr>
        <w:tblStyle w:val="Table3"/>
        <w:tblW w:w="8309" w:type="dxa"/>
        <w:jc w:val="start"/>
        <w:tblInd w:w="83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</w:tbl>
    <w:p>
      <w:pPr>
        <w:pStyle w:val="Normal1"/>
        <w:ind w:hanging="0" w:start="720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3"/>
        </w:numPr>
        <w:ind w:hanging="360" w:start="720"/>
        <w:rPr>
          <w:b/>
        </w:rPr>
      </w:pPr>
      <w:r>
        <w:rPr>
          <w:b/>
          <w:u w:val="single"/>
        </w:rPr>
        <w:t xml:space="preserve">Définition des termes </w:t>
      </w:r>
    </w:p>
    <w:p>
      <w:pPr>
        <w:pStyle w:val="Normal1"/>
        <w:ind w:hanging="0" w:start="720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hanging="360" w:start="720"/>
        <w:rPr>
          <w:b/>
        </w:rPr>
      </w:pPr>
      <w:r>
        <w:rPr>
          <w:b/>
          <w:u w:val="single"/>
        </w:rPr>
        <w:t xml:space="preserve">Pourquoi le travail en groupe est-il important en apprentissage? </w:t>
      </w:r>
    </w:p>
    <w:p>
      <w:pPr>
        <w:pStyle w:val="Normal1"/>
        <w:rPr/>
      </w:pPr>
      <w:r>
        <w:rPr/>
      </w:r>
    </w:p>
    <w:tbl>
      <w:tblPr>
        <w:tblStyle w:val="Table4"/>
        <w:tblW w:w="8490" w:type="dxa"/>
        <w:jc w:val="start"/>
        <w:tblInd w:w="635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8490"/>
      </w:tblGrid>
      <w:tr>
        <w:trPr/>
        <w:tc>
          <w:tcPr>
            <w:tcW w:w="849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start="0" w:end="0"/>
              <w:jc w:val="star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1"/>
        </w:numPr>
        <w:ind w:hanging="360" w:start="720"/>
        <w:rPr>
          <w:b/>
          <w:u w:val="none"/>
        </w:rPr>
      </w:pPr>
      <w:r>
        <w:rPr>
          <w:b/>
          <w:u w:val="single"/>
        </w:rPr>
        <w:t>Les étapes de l’évolution des groupes selon Tuckman</w:t>
      </w:r>
    </w:p>
    <w:p>
      <w:pPr>
        <w:pStyle w:val="Normal1"/>
        <w:ind w:hanging="0" w:start="720"/>
        <w:rPr/>
      </w:pPr>
      <w:r>
        <w:rPr>
          <w:b/>
          <w:u w:val="single"/>
        </w:rPr>
        <w:t xml:space="preserve">Consignes : </w:t>
      </w:r>
      <w:r>
        <w:rPr/>
        <w:t xml:space="preserve">Suivez attentivement la vidéo et répondez aux questions : </w:t>
      </w:r>
    </w:p>
    <w:p>
      <w:pPr>
        <w:pStyle w:val="Normal1"/>
        <w:ind w:hanging="0" w:start="720"/>
        <w:rPr/>
      </w:pPr>
      <w:r>
        <w:rPr/>
      </w:r>
    </w:p>
    <w:p>
      <w:pPr>
        <w:pStyle w:val="Normal1"/>
        <w:numPr>
          <w:ilvl w:val="0"/>
          <w:numId w:val="5"/>
        </w:numPr>
        <w:ind w:hanging="360" w:start="1440"/>
        <w:rPr/>
      </w:pPr>
      <w:r>
        <w:rPr/>
        <w:t xml:space="preserve">Quelles phases de développement d’un groupe sont citées dans cette vidéo? </w:t>
      </w:r>
    </w:p>
    <w:p>
      <w:pPr>
        <w:pStyle w:val="Normal1"/>
        <w:ind w:hanging="0" w:start="1440"/>
        <w:rPr/>
      </w:pPr>
      <w:r>
        <w:rPr/>
      </w:r>
    </w:p>
    <w:p>
      <w:pPr>
        <w:pStyle w:val="Normal1"/>
        <w:numPr>
          <w:ilvl w:val="0"/>
          <w:numId w:val="5"/>
        </w:numPr>
        <w:ind w:hanging="360" w:start="1440"/>
        <w:rPr/>
      </w:pPr>
      <w:r>
        <w:rPr/>
        <w:t xml:space="preserve">Qu’est ce qui caractérise chaque phase ?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hanging="0" w:start="720"/>
        <w:rPr>
          <w:b/>
          <w:u w:val="single"/>
        </w:rPr>
      </w:pPr>
      <w:r>
        <w:rPr>
          <w:b/>
          <w:u w:val="single"/>
        </w:rPr>
        <w:t xml:space="preserve">Complétez la phrase suivante : </w:t>
      </w:r>
    </w:p>
    <w:tbl>
      <w:tblPr>
        <w:tblStyle w:val="Table5"/>
        <w:tblW w:w="8309" w:type="dxa"/>
        <w:jc w:val="start"/>
        <w:tblInd w:w="83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Selon Tuckman , les groupes présentent une dynamique d’évolution qui comprend X phases qui sont :</w:t>
            </w:r>
          </w:p>
        </w:tc>
      </w:tr>
    </w:tbl>
    <w:p>
      <w:pPr>
        <w:pStyle w:val="Normal1"/>
        <w:ind w:hanging="0" w:start="0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ind w:hanging="0" w:start="0"/>
        <w:rPr>
          <w:b/>
        </w:rPr>
      </w:pPr>
      <w:r>
        <w:rPr>
          <w:b/>
        </w:rPr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MT">
    <w:charset w:val="00" w:characterSet="windows-1252"/>
    <w:family w:val="roman"/>
    <w:pitch w:val="variable"/>
  </w:font>
  <w:font w:name="SymbolMT">
    <w:charset w:val="00" w:characterSet="windows-1252"/>
    <w:family w:val="roman"/>
    <w:pitch w:val="variable"/>
  </w:font>
  <w:font w:name="Arial-BoldMT"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b/>
        <w:i/>
        <w:i/>
      </w:rPr>
    </w:pPr>
    <w:r>
      <mc:AlternateContent>
        <mc:Choice Requires="wps">
          <w:drawing>
            <wp:anchor behindDoc="1" distT="114300" distB="114300" distL="114300" distR="114300" simplePos="0" locked="0" layoutInCell="0" allowOverlap="1" relativeHeight="6">
              <wp:simplePos x="0" y="0"/>
              <wp:positionH relativeFrom="page">
                <wp:posOffset>5191125</wp:posOffset>
              </wp:positionH>
              <wp:positionV relativeFrom="page">
                <wp:posOffset>200025</wp:posOffset>
              </wp:positionV>
              <wp:extent cx="1847850" cy="334010"/>
              <wp:effectExtent l="0" t="0" r="0" b="0"/>
              <wp:wrapSquare wrapText="bothSides"/>
              <wp:docPr id="1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80" cy="334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0" w:before="0" w:after="0"/>
                            <w:ind w:hanging="0" w:start="0" w:end="0"/>
                            <w:jc w:val="star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Fiche d’activités apprenant </w:t>
                          </w:r>
                        </w:p>
                      </w:txbxContent>
                    </wps:txbx>
                    <wps:bodyPr tIns="91440" bIns="914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" path="m0,0l-2147483645,0l-2147483645,-2147483646l0,-2147483646xe" stroked="f" o:allowincell="f" style="position:absolute;margin-left:408.75pt;margin-top:15.75pt;width:145.45pt;height:26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0" w:before="0" w:after="0"/>
                      <w:ind w:hanging="0" w:start="0" w:end="0"/>
                      <w:jc w:val="star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 xml:space="preserve">Fiche d’activités apprenant 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114300" distB="114300" distL="112395" distR="114300" simplePos="0" locked="0" layoutInCell="0" allowOverlap="1" relativeHeight="12">
              <wp:simplePos x="0" y="0"/>
              <wp:positionH relativeFrom="page">
                <wp:posOffset>514350</wp:posOffset>
              </wp:positionH>
              <wp:positionV relativeFrom="page">
                <wp:posOffset>200025</wp:posOffset>
              </wp:positionV>
              <wp:extent cx="2466975" cy="334010"/>
              <wp:effectExtent l="0" t="0" r="0" b="0"/>
              <wp:wrapSquare wrapText="bothSides"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7080" cy="334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0" w:before="0" w:after="0"/>
                            <w:ind w:hanging="0" w:start="0" w:end="0"/>
                            <w:jc w:val="center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Formation de formateur numérique </w:t>
                          </w:r>
                        </w:p>
                      </w:txbxContent>
                    </wps:txbx>
                    <wps:bodyPr tIns="91440" bIns="914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40.5pt;margin-top:15.75pt;width:194.2pt;height:26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0" w:before="0" w:after="0"/>
                      <w:ind w:hanging="0" w:start="0" w:end="0"/>
                      <w:jc w:val="center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 xml:space="preserve">Formation de formateur numérique 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114300" distB="114300" distL="114300" distR="114300" simplePos="0" locked="0" layoutInCell="0" allowOverlap="1" relativeHeight="18">
              <wp:simplePos x="0" y="0"/>
              <wp:positionH relativeFrom="page">
                <wp:posOffset>1741805</wp:posOffset>
              </wp:positionH>
              <wp:positionV relativeFrom="page">
                <wp:posOffset>561975</wp:posOffset>
              </wp:positionV>
              <wp:extent cx="4076700" cy="334010"/>
              <wp:effectExtent l="0" t="0" r="0" b="0"/>
              <wp:wrapSquare wrapText="bothSides"/>
              <wp:docPr id="3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76640" cy="334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0" w:before="0" w:after="0"/>
                            <w:ind w:hanging="0" w:start="0" w:end="0"/>
                            <w:jc w:val="start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Fondements collectifs : référentiels et règles de fonctionnement </w:t>
                          </w:r>
                        </w:p>
                      </w:txbxContent>
                    </wps:txbx>
                    <wps:bodyPr tIns="91440" bIns="9144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137.15pt;margin-top:44.25pt;width:320.95pt;height:26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0" w:before="0" w:after="0"/>
                      <w:ind w:hanging="0" w:start="0" w:end="0"/>
                      <w:jc w:val="start"/>
                      <w:rPr/>
                    </w:pPr>
                    <w:r>
                      <w:rPr>
                        <w:rFonts w:eastAsia="Arial" w:cs="Arial"/>
                        <w:b/>
                        <w:i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 xml:space="preserve">Fondements collectifs : référentiels et règles de fonctionnement 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b/>
        <w:i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upperLetter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start"/>
      <w:pPr>
        <w:tabs>
          <w:tab w:val="num" w:pos="0"/>
        </w:tabs>
        <w:ind w:start="1440" w:hanging="360"/>
      </w:pPr>
      <w:rPr>
        <w:u w:val="none"/>
      </w:rPr>
    </w:lvl>
    <w:lvl w:ilvl="1">
      <w:start w:val="1"/>
      <w:numFmt w:val="lowerLetter"/>
      <w:lvlText w:val="%2)"/>
      <w:lvlJc w:val="start"/>
      <w:pPr>
        <w:tabs>
          <w:tab w:val="num" w:pos="0"/>
        </w:tabs>
        <w:ind w:start="2160" w:hanging="360"/>
      </w:pPr>
      <w:rPr>
        <w:u w:val="none"/>
      </w:rPr>
    </w:lvl>
    <w:lvl w:ilvl="2">
      <w:start w:val="1"/>
      <w:numFmt w:val="lowerRoman"/>
      <w:lvlText w:val="%3)"/>
      <w:lvlJc w:val="end"/>
      <w:pPr>
        <w:tabs>
          <w:tab w:val="num" w:pos="0"/>
        </w:tabs>
        <w:ind w:start="2880" w:hanging="360"/>
      </w:pPr>
      <w:rPr>
        <w:u w:val="none"/>
      </w:rPr>
    </w:lvl>
    <w:lvl w:ilvl="3">
      <w:start w:val="1"/>
      <w:numFmt w:val="decimal"/>
      <w:lvlText w:val="(%4)"/>
      <w:lvlJc w:val="start"/>
      <w:pPr>
        <w:tabs>
          <w:tab w:val="num" w:pos="0"/>
        </w:tabs>
        <w:ind w:start="3600" w:hanging="360"/>
      </w:pPr>
      <w:rPr>
        <w:u w:val="none"/>
      </w:rPr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4320" w:hanging="360"/>
      </w:pPr>
      <w:rPr>
        <w:u w:val="none"/>
      </w:rPr>
    </w:lvl>
    <w:lvl w:ilvl="5">
      <w:start w:val="1"/>
      <w:numFmt w:val="lowerRoman"/>
      <w:lvlText w:val="(%6)"/>
      <w:lvlJc w:val="end"/>
      <w:pPr>
        <w:tabs>
          <w:tab w:val="num" w:pos="0"/>
        </w:tabs>
        <w:ind w:start="504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76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8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)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)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(%4)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(%6)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)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)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(%4)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(%6)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Contenudecadre">
    <w:name w:val="Contenu de cadre"/>
    <w:basedOn w:val="Normal"/>
    <w:qFormat/>
    <w:pPr/>
    <w:rPr/>
  </w:style>
  <w:style w:type="paragraph" w:styleId="Footer">
    <w:name w:val="Footer"/>
    <w:basedOn w:val="En-tteetpieddepage"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LibreOffice/7.6.0.3$Windows_X86_64 LibreOffice_project/69edd8b8ebc41d00b4de3915dc82f8f0fc3b6265</Application>
  <AppVersion>15.0000</AppVersion>
  <Pages>3</Pages>
  <Words>513</Words>
  <Characters>3240</Characters>
  <CharactersWithSpaces>3685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2023-09-07T14:18:47Z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