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A6D6"/>
          <w:sz w:val="22"/>
        </w:rPr>
        <w:t>GUÍA METODOLÓGICA POTENCIADA</w:t>
      </w:r>
    </w:p>
    <w:p>
      <w:pPr>
        <w:jc w:val="center"/>
      </w:pPr>
      <w:r>
        <w:rPr>
          <w:rFonts w:ascii="Aptos Display" w:hAnsi="Aptos Display"/>
          <w:b/>
          <w:color w:val="0B1F3A"/>
          <w:sz w:val="48"/>
        </w:rPr>
        <w:t>Proyecto 3 · Predicción de valor de propiedades</w:t>
      </w:r>
    </w:p>
    <w:p>
      <w:pPr>
        <w:jc w:val="center"/>
      </w:pPr>
      <w:r>
        <w:rPr>
          <w:rFonts w:ascii="Aptos" w:hAnsi="Aptos"/>
          <w:color w:val="52616B"/>
          <w:sz w:val="24"/>
        </w:rPr>
        <w:t>Hito 1 · Análisis exploratorio orientado a hipótesis y defensa oral</w:t>
      </w:r>
    </w:p>
    <w:tbl>
      <w:tblPr>
        <w:tblW w:type="auto" w:w="0"/>
        <w:jc w:val="center"/>
        <w:tblLayout w:type="autofit"/>
        <w:tblLook w:firstColumn="1" w:firstRow="1" w:lastColumn="0" w:lastRow="0" w:noHBand="0" w:noVBand="1" w:val="04A0"/>
      </w:tblPr>
      <w:tblGrid>
        <w:gridCol w:w="10080"/>
      </w:tblGrid>
      <w:tr>
        <w:tc>
          <w:tcPr>
            <w:tcW w:type="dxa" w:w="10080"/>
            <w:shd w:fill="EAF4FB"/>
          </w:tcPr>
          <w:p>
            <w:r>
              <w:rPr>
                <w:rFonts w:ascii="Aptos" w:hAnsi="Aptos"/>
                <w:b/>
                <w:color w:val="0B1F3A"/>
                <w:sz w:val="21"/>
              </w:rPr>
              <w:t>Mandato que gobierna todo el trabajo</w:t>
            </w:r>
          </w:p>
          <w:p>
            <w:pPr>
              <w:pStyle w:val="BoxText"/>
            </w:pPr>
            <w:r>
              <w:t>Usar las ventas de propiedades para entrenar un modelo predictivo con datos del 2016, y luego predecir y evaluar el modelo sobre las propiedades del año 2017. El Hito 1 no exige entrenar el modelo: exige explicar el problema, describir exactamente los datos y presentar un análisis exploratorio que sustente una hipótesis de investigación.</w:t>
            </w:r>
          </w:p>
        </w:tc>
      </w:tr>
    </w:tbl>
    <w:p>
      <w:pPr>
        <w:pStyle w:val="SmallMuted"/>
      </w:pPr>
      <w:r>
        <w:t>Fuentes de trabajo: Proyectos Fundamentos en Ciencia de Datos 2026-2, Proyecto 3; presentación Hito 1 existente; anclaje.json y anclaje.py. Las cifras incluidas corresponden al archivo de anclaje disponible al momento de esta versión.</w:t>
      </w:r>
    </w:p>
    <w:p>
      <w:r>
        <w:br w:type="page"/>
      </w:r>
    </w:p>
    <w:p>
      <w:pPr>
        <w:pStyle w:val="Heading1"/>
      </w:pPr>
      <w:r>
        <w:t>1. Corrección central del enfoque</w:t>
      </w:r>
    </w:p>
    <w:p>
      <w:r>
        <w:t>La frase “el problema no es predecir el futuro: es predecir otro lugar” es útil como recurso narrativo, pero no debe operar como tesis principal. El profesor sí definió explícitamente el problema como entrenamiento con 2016 y evaluación sobre 2017. Por lo tanto, el encuadre debe respetar esa estructura temporal y usar el hallazgo geográfico como condición que vuelve más difícil la generalización.</w:t>
      </w:r>
    </w:p>
    <w:p>
      <w:r>
        <w:t>La formulación corregida es:</w:t>
      </w:r>
    </w:p>
    <w:tbl>
      <w:tblPr>
        <w:tblW w:type="auto" w:w="0"/>
        <w:jc w:val="center"/>
        <w:tblLayout w:type="autofit"/>
        <w:tblLook w:firstColumn="1" w:firstRow="1" w:lastColumn="0" w:lastRow="0" w:noHBand="0" w:noVBand="1" w:val="04A0"/>
      </w:tblPr>
      <w:tblGrid>
        <w:gridCol w:w="10080"/>
      </w:tblGrid>
      <w:tr>
        <w:tc>
          <w:tcPr>
            <w:tcW w:type="dxa" w:w="10080"/>
            <w:shd w:fill="FFF7EA"/>
          </w:tcPr>
          <w:p>
            <w:r>
              <w:rPr>
                <w:rFonts w:ascii="Aptos" w:hAnsi="Aptos"/>
                <w:b/>
                <w:color w:val="0B1F3A"/>
                <w:sz w:val="21"/>
              </w:rPr>
              <w:t>Frase recomendada</w:t>
            </w:r>
          </w:p>
          <w:p>
            <w:pPr>
              <w:pStyle w:val="BoxText"/>
            </w:pPr>
            <w:r>
              <w:t>Entrenamos con ventas de 2016 para predecir propiedades de 2017. El EDA muestra que 2017 no es simplemente otro año: también contiene una distribución geográfica distinta.</w:t>
            </w:r>
          </w:p>
        </w:tc>
      </w:tr>
    </w:tbl>
    <w:p>
      <w:pPr>
        <w:pStyle w:val="Heading1"/>
      </w:pPr>
      <w:r>
        <w:t>2. Pregunta de investigación e hipótesis</w:t>
      </w:r>
    </w:p>
    <w:p>
      <w:r>
        <w:t>La pregunta debe salir directamente del requerimiento inicial y debe ser evaluable en el Hito 2 mediante una métrica predictiva. No basta con decir “queremos predecir precios”; eso es un objetivo operativo, no una pregunta de investigación.</w:t>
      </w:r>
    </w:p>
    <w:tbl>
      <w:tblPr>
        <w:tblW w:type="auto" w:w="0"/>
        <w:jc w:val="center"/>
        <w:tblLayout w:type="autofit"/>
        <w:tblLook w:firstColumn="1" w:firstRow="1" w:lastColumn="0" w:lastRow="0" w:noHBand="0" w:noVBand="1" w:val="04A0"/>
      </w:tblPr>
      <w:tblGrid>
        <w:gridCol w:w="10080"/>
      </w:tblGrid>
      <w:tr>
        <w:tc>
          <w:tcPr>
            <w:tcW w:type="dxa" w:w="10080"/>
            <w:shd w:fill="EAF4FB"/>
          </w:tcPr>
          <w:p>
            <w:r>
              <w:rPr>
                <w:rFonts w:ascii="Aptos" w:hAnsi="Aptos"/>
                <w:b/>
                <w:color w:val="0B1F3A"/>
                <w:sz w:val="21"/>
              </w:rPr>
              <w:t>Pregunta principal</w:t>
            </w:r>
          </w:p>
          <w:p>
            <w:pPr>
              <w:pStyle w:val="BoxText"/>
            </w:pPr>
            <w:r>
              <w:t>¿En qué medida los atributos disponibles en las ventas de propiedades de Melbourne durante 2016 permiten predecir el precio de las propiedades vendidas durante 2017?</w:t>
            </w:r>
          </w:p>
        </w:tc>
      </w:tr>
    </w:tbl>
    <w:tbl>
      <w:tblPr>
        <w:tblW w:type="auto" w:w="0"/>
        <w:jc w:val="center"/>
        <w:tblLayout w:type="autofit"/>
        <w:tblLook w:firstColumn="1" w:firstRow="1" w:lastColumn="0" w:lastRow="0" w:noHBand="0" w:noVBand="1" w:val="04A0"/>
      </w:tblPr>
      <w:tblGrid>
        <w:gridCol w:w="10080"/>
      </w:tblGrid>
      <w:tr>
        <w:tc>
          <w:tcPr>
            <w:tcW w:type="dxa" w:w="10080"/>
            <w:shd w:fill="F1F8EF"/>
          </w:tcPr>
          <w:p>
            <w:r>
              <w:rPr>
                <w:rFonts w:ascii="Aptos" w:hAnsi="Aptos"/>
                <w:b/>
                <w:color w:val="0B1F3A"/>
                <w:sz w:val="21"/>
              </w:rPr>
              <w:t>Hipótesis principal</w:t>
            </w:r>
          </w:p>
          <w:p>
            <w:pPr>
              <w:pStyle w:val="BoxText"/>
            </w:pPr>
            <w:r>
              <w:t>H1: La relación entre características estructurales y geográficas de las propiedades y su precio observada en 2016 conserva suficiente estabilidad en 2017 como para construir un modelo que supere una predicción basal.</w:t>
            </w:r>
          </w:p>
        </w:tc>
      </w:tr>
    </w:tbl>
    <w:tbl>
      <w:tblPr>
        <w:tblW w:type="auto" w:w="0"/>
        <w:jc w:val="center"/>
        <w:tblLayout w:type="autofit"/>
        <w:tblLook w:firstColumn="1" w:firstRow="1" w:lastColumn="0" w:lastRow="0" w:noHBand="0" w:noVBand="1" w:val="04A0"/>
      </w:tblPr>
      <w:tblGrid>
        <w:gridCol w:w="10080"/>
      </w:tblGrid>
      <w:tr>
        <w:tc>
          <w:tcPr>
            <w:tcW w:type="dxa" w:w="10080"/>
            <w:shd w:fill="F7E4E1"/>
          </w:tcPr>
          <w:p>
            <w:r>
              <w:rPr>
                <w:rFonts w:ascii="Aptos" w:hAnsi="Aptos"/>
                <w:b/>
                <w:color w:val="0B1F3A"/>
                <w:sz w:val="21"/>
              </w:rPr>
              <w:t>Hipótesis nula</w:t>
            </w:r>
          </w:p>
          <w:p>
            <w:pPr>
              <w:pStyle w:val="BoxText"/>
            </w:pPr>
            <w:r>
              <w:t>H0: Las relaciones aprendidas a partir de las ventas de 2016 no permiten mejorar de manera relevante una predicción basal aplicada a las propiedades de 2017.</w:t>
            </w:r>
          </w:p>
        </w:tc>
      </w:tr>
    </w:tbl>
    <w:tbl>
      <w:tblPr>
        <w:tblW w:type="auto" w:w="0"/>
        <w:jc w:val="center"/>
        <w:tblLayout w:type="autofit"/>
        <w:tblLook w:firstColumn="1" w:firstRow="1" w:lastColumn="0" w:lastRow="0" w:noHBand="0" w:noVBand="1" w:val="04A0"/>
      </w:tblPr>
      <w:tblGrid>
        <w:gridCol w:w="10080"/>
      </w:tblGrid>
      <w:tr>
        <w:tc>
          <w:tcPr>
            <w:tcW w:type="dxa" w:w="10080"/>
            <w:shd w:fill="FFF7EA"/>
          </w:tcPr>
          <w:p>
            <w:r>
              <w:rPr>
                <w:rFonts w:ascii="Aptos" w:hAnsi="Aptos"/>
                <w:b/>
                <w:color w:val="0B1F3A"/>
                <w:sz w:val="21"/>
              </w:rPr>
              <w:t>Hipótesis secundaria</w:t>
            </w:r>
          </w:p>
          <w:p>
            <w:pPr>
              <w:pStyle w:val="BoxText"/>
            </w:pPr>
            <w:r>
              <w:t>H1b: El error de predicción en 2017 será mayor para propiedades ubicadas en suburbios no observados durante 2016 que para propiedades pertenecientes a suburbios ya presentes en el entrenamiento.</w:t>
            </w:r>
          </w:p>
        </w:tc>
      </w:tr>
    </w:tbl>
    <w:p>
      <w:r>
        <w:t>La hipótesis principal se comprueba comparando el MAE del modelo sobre 2017 contra la línea base definida antes de modelar. La hipótesis secundaria se comprueba comparando el MAE de 2017 en dos estratos: suburbios vistos durante 2016 y suburbios no vistos durante 2016.</w:t>
      </w:r>
    </w:p>
    <w:p>
      <w:pPr>
        <w:pStyle w:val="Heading1"/>
      </w:pPr>
      <w:r>
        <w:t>3. Criterio operacional de validación</w:t>
      </w:r>
    </w:p>
    <w:tbl>
      <w:tblPr>
        <w:tblStyle w:val="TableGrid"/>
        <w:tblW w:type="auto" w:w="0"/>
        <w:jc w:val="center"/>
        <w:tblLook w:firstColumn="1" w:firstRow="1" w:lastColumn="0" w:lastRow="0" w:noHBand="0" w:noVBand="1" w:val="04A0"/>
      </w:tblPr>
      <w:tblGrid>
        <w:gridCol w:w="5040"/>
        <w:gridCol w:w="5040"/>
      </w:tblGrid>
      <w:tr>
        <w:tc>
          <w:tcPr>
            <w:tcW w:type="dxa" w:w="5040"/>
            <w:shd w:fill="0B1F3A"/>
            <w:vAlign w:val="top"/>
          </w:tcPr>
          <w:p>
            <w:r/>
            <w:r>
              <w:rPr>
                <w:rFonts w:ascii="Aptos" w:hAnsi="Aptos" w:eastAsia="Aptos"/>
                <w:b/>
                <w:color w:val="FFFFFF"/>
                <w:sz w:val="17"/>
              </w:rPr>
              <w:t>Elemento</w:t>
            </w:r>
          </w:p>
        </w:tc>
        <w:tc>
          <w:tcPr>
            <w:tcW w:type="dxa" w:w="5040"/>
            <w:shd w:fill="0B1F3A"/>
            <w:vAlign w:val="top"/>
          </w:tcPr>
          <w:p>
            <w:r/>
            <w:r>
              <w:rPr>
                <w:rFonts w:ascii="Aptos" w:hAnsi="Aptos" w:eastAsia="Aptos"/>
                <w:b/>
                <w:color w:val="FFFFFF"/>
                <w:sz w:val="17"/>
              </w:rPr>
              <w:t>Definición para el proyecto</w:t>
            </w:r>
          </w:p>
        </w:tc>
      </w:tr>
      <w:tr>
        <w:tc>
          <w:tcPr>
            <w:tcW w:type="dxa" w:w="5040"/>
            <w:vAlign w:val="top"/>
          </w:tcPr>
          <w:p>
            <w:r/>
            <w:r>
              <w:rPr>
                <w:rFonts w:ascii="Aptos" w:hAnsi="Aptos" w:eastAsia="Aptos"/>
                <w:b w:val="0"/>
                <w:sz w:val="17"/>
              </w:rPr>
              <w:t>Entrenamiento</w:t>
            </w:r>
          </w:p>
        </w:tc>
        <w:tc>
          <w:tcPr>
            <w:tcW w:type="dxa" w:w="5040"/>
            <w:vAlign w:val="top"/>
          </w:tcPr>
          <w:p>
            <w:r/>
            <w:r>
              <w:rPr>
                <w:rFonts w:ascii="Aptos" w:hAnsi="Aptos" w:eastAsia="Aptos"/>
                <w:b w:val="0"/>
                <w:sz w:val="17"/>
              </w:rPr>
              <w:t>Observaciones del año 2016, respetando la partición temporal del enunciado.</w:t>
            </w:r>
          </w:p>
        </w:tc>
      </w:tr>
      <w:tr>
        <w:tc>
          <w:tcPr>
            <w:tcW w:type="dxa" w:w="5040"/>
            <w:vAlign w:val="top"/>
          </w:tcPr>
          <w:p>
            <w:r/>
            <w:r>
              <w:rPr>
                <w:rFonts w:ascii="Aptos" w:hAnsi="Aptos" w:eastAsia="Aptos"/>
                <w:b w:val="0"/>
                <w:sz w:val="17"/>
              </w:rPr>
              <w:t>Evaluación</w:t>
            </w:r>
          </w:p>
        </w:tc>
        <w:tc>
          <w:tcPr>
            <w:tcW w:type="dxa" w:w="5040"/>
            <w:vAlign w:val="top"/>
          </w:tcPr>
          <w:p>
            <w:r/>
            <w:r>
              <w:rPr>
                <w:rFonts w:ascii="Aptos" w:hAnsi="Aptos" w:eastAsia="Aptos"/>
                <w:b w:val="0"/>
                <w:sz w:val="17"/>
              </w:rPr>
              <w:t>Observaciones del año 2017. No deben mezclarse con 2016 mediante train_test_split aleatorio.</w:t>
            </w:r>
          </w:p>
        </w:tc>
      </w:tr>
      <w:tr>
        <w:tc>
          <w:tcPr>
            <w:tcW w:type="dxa" w:w="5040"/>
            <w:vAlign w:val="top"/>
          </w:tcPr>
          <w:p>
            <w:r/>
            <w:r>
              <w:rPr>
                <w:rFonts w:ascii="Aptos" w:hAnsi="Aptos" w:eastAsia="Aptos"/>
                <w:b w:val="0"/>
                <w:sz w:val="17"/>
              </w:rPr>
              <w:t>Variable objetivo</w:t>
            </w:r>
          </w:p>
        </w:tc>
        <w:tc>
          <w:tcPr>
            <w:tcW w:type="dxa" w:w="5040"/>
            <w:vAlign w:val="top"/>
          </w:tcPr>
          <w:p>
            <w:r/>
            <w:r>
              <w:rPr>
                <w:rFonts w:ascii="Aptos" w:hAnsi="Aptos" w:eastAsia="Aptos"/>
                <w:b w:val="0"/>
                <w:sz w:val="17"/>
              </w:rPr>
              <w:t>Price, interpretada como precio de propiedad; debe revisarse contra Method porque el enunciado habla de ventas.</w:t>
            </w:r>
          </w:p>
        </w:tc>
      </w:tr>
      <w:tr>
        <w:tc>
          <w:tcPr>
            <w:tcW w:type="dxa" w:w="5040"/>
            <w:vAlign w:val="top"/>
          </w:tcPr>
          <w:p>
            <w:r/>
            <w:r>
              <w:rPr>
                <w:rFonts w:ascii="Aptos" w:hAnsi="Aptos" w:eastAsia="Aptos"/>
                <w:b w:val="0"/>
                <w:sz w:val="17"/>
              </w:rPr>
              <w:t>Métrica recomendada</w:t>
            </w:r>
          </w:p>
        </w:tc>
        <w:tc>
          <w:tcPr>
            <w:tcW w:type="dxa" w:w="5040"/>
            <w:vAlign w:val="top"/>
          </w:tcPr>
          <w:p>
            <w:r/>
            <w:r>
              <w:rPr>
                <w:rFonts w:ascii="Aptos" w:hAnsi="Aptos" w:eastAsia="Aptos"/>
                <w:b w:val="0"/>
                <w:sz w:val="17"/>
              </w:rPr>
              <w:t>MAE, por robustez e interpretación directa en unidades de Price.</w:t>
            </w:r>
          </w:p>
        </w:tc>
      </w:tr>
      <w:tr>
        <w:tc>
          <w:tcPr>
            <w:tcW w:type="dxa" w:w="5040"/>
            <w:vAlign w:val="top"/>
          </w:tcPr>
          <w:p>
            <w:r/>
            <w:r>
              <w:rPr>
                <w:rFonts w:ascii="Aptos" w:hAnsi="Aptos" w:eastAsia="Aptos"/>
                <w:b w:val="0"/>
                <w:sz w:val="17"/>
              </w:rPr>
              <w:t>Baseline</w:t>
            </w:r>
          </w:p>
        </w:tc>
        <w:tc>
          <w:tcPr>
            <w:tcW w:type="dxa" w:w="5040"/>
            <w:vAlign w:val="top"/>
          </w:tcPr>
          <w:p>
            <w:r/>
            <w:r>
              <w:rPr>
                <w:rFonts w:ascii="Aptos" w:hAnsi="Aptos" w:eastAsia="Aptos"/>
                <w:b w:val="0"/>
                <w:sz w:val="17"/>
              </w:rPr>
              <w:t>Predictor constante basado en la mediana de 2016 aplicada a 2017. En el anclaje actual: MAE = 431.649.</w:t>
            </w:r>
          </w:p>
        </w:tc>
      </w:tr>
      <w:tr>
        <w:tc>
          <w:tcPr>
            <w:tcW w:type="dxa" w:w="5040"/>
            <w:vAlign w:val="top"/>
          </w:tcPr>
          <w:p>
            <w:r/>
            <w:r>
              <w:rPr>
                <w:rFonts w:ascii="Aptos" w:hAnsi="Aptos" w:eastAsia="Aptos"/>
                <w:b w:val="0"/>
                <w:sz w:val="17"/>
              </w:rPr>
              <w:t>Criterio para respaldar H1</w:t>
            </w:r>
          </w:p>
        </w:tc>
        <w:tc>
          <w:tcPr>
            <w:tcW w:type="dxa" w:w="5040"/>
            <w:vAlign w:val="top"/>
          </w:tcPr>
          <w:p>
            <w:r/>
            <w:r>
              <w:rPr>
                <w:rFonts w:ascii="Aptos" w:hAnsi="Aptos" w:eastAsia="Aptos"/>
                <w:b w:val="0"/>
                <w:sz w:val="17"/>
              </w:rPr>
              <w:t>MAE_modelo_2017 &lt; MAE_baseline_2017.</w:t>
            </w:r>
          </w:p>
        </w:tc>
      </w:tr>
      <w:tr>
        <w:tc>
          <w:tcPr>
            <w:tcW w:type="dxa" w:w="5040"/>
            <w:vAlign w:val="top"/>
          </w:tcPr>
          <w:p>
            <w:r/>
            <w:r>
              <w:rPr>
                <w:rFonts w:ascii="Aptos" w:hAnsi="Aptos" w:eastAsia="Aptos"/>
                <w:b w:val="0"/>
                <w:sz w:val="17"/>
              </w:rPr>
              <w:t>Criterio para H1b</w:t>
            </w:r>
          </w:p>
        </w:tc>
        <w:tc>
          <w:tcPr>
            <w:tcW w:type="dxa" w:w="5040"/>
            <w:vAlign w:val="top"/>
          </w:tcPr>
          <w:p>
            <w:r/>
            <w:r>
              <w:rPr>
                <w:rFonts w:ascii="Aptos" w:hAnsi="Aptos" w:eastAsia="Aptos"/>
                <w:b w:val="0"/>
                <w:sz w:val="17"/>
              </w:rPr>
              <w:t>MAE_suburbios_nuevos &gt; MAE_suburbios_vistos, idealmente con intervalo bootstrap de la diferencia.</w:t>
            </w:r>
          </w:p>
        </w:tc>
      </w:tr>
    </w:tbl>
    <w:p>
      <w:pPr>
        <w:pStyle w:val="Heading1"/>
      </w:pPr>
      <w:r>
        <w:t>4. Datos: descripción exacta que debe aparecer en la presentación</w:t>
      </w:r>
    </w:p>
    <w:p>
      <w:r>
        <w:t>La descripción de datos debe ser precisa y verificable. No debe limitarse a “dataset de propiedades de Melbourne”. Debe declarar forma, ventana temporal, variable objetivo, atributos relevantes, discrepancias con el enunciado y decisiones de lectura.</w:t>
      </w:r>
    </w:p>
    <w:tbl>
      <w:tblPr>
        <w:tblStyle w:val="TableGrid"/>
        <w:tblW w:type="auto" w:w="0"/>
        <w:jc w:val="center"/>
        <w:tblLook w:firstColumn="1" w:firstRow="1" w:lastColumn="0" w:lastRow="0" w:noHBand="0" w:noVBand="1" w:val="04A0"/>
      </w:tblPr>
      <w:tblGrid>
        <w:gridCol w:w="5040"/>
        <w:gridCol w:w="5040"/>
      </w:tblGrid>
      <w:tr>
        <w:tc>
          <w:tcPr>
            <w:tcW w:type="dxa" w:w="5040"/>
            <w:shd w:fill="0B1F3A"/>
            <w:vAlign w:val="top"/>
          </w:tcPr>
          <w:p>
            <w:r/>
            <w:r>
              <w:rPr>
                <w:rFonts w:ascii="Aptos" w:hAnsi="Aptos" w:eastAsia="Aptos"/>
                <w:b/>
                <w:color w:val="FFFFFF"/>
                <w:sz w:val="17"/>
              </w:rPr>
              <w:t>Aspecto</w:t>
            </w:r>
          </w:p>
        </w:tc>
        <w:tc>
          <w:tcPr>
            <w:tcW w:type="dxa" w:w="5040"/>
            <w:shd w:fill="0B1F3A"/>
            <w:vAlign w:val="top"/>
          </w:tcPr>
          <w:p>
            <w:r/>
            <w:r>
              <w:rPr>
                <w:rFonts w:ascii="Aptos" w:hAnsi="Aptos" w:eastAsia="Aptos"/>
                <w:b/>
                <w:color w:val="FFFFFF"/>
                <w:sz w:val="17"/>
              </w:rPr>
              <w:t>Dato verificado / decisión</w:t>
            </w:r>
          </w:p>
        </w:tc>
      </w:tr>
      <w:tr>
        <w:tc>
          <w:tcPr>
            <w:tcW w:type="dxa" w:w="5040"/>
            <w:vAlign w:val="top"/>
          </w:tcPr>
          <w:p>
            <w:r/>
            <w:r>
              <w:rPr>
                <w:rFonts w:ascii="Aptos" w:hAnsi="Aptos" w:eastAsia="Aptos"/>
                <w:b w:val="0"/>
                <w:sz w:val="17"/>
              </w:rPr>
              <w:t>Archivo</w:t>
            </w:r>
          </w:p>
        </w:tc>
        <w:tc>
          <w:tcPr>
            <w:tcW w:type="dxa" w:w="5040"/>
            <w:vAlign w:val="top"/>
          </w:tcPr>
          <w:p>
            <w:r/>
            <w:r>
              <w:rPr>
                <w:rFonts w:ascii="Aptos" w:hAnsi="Aptos" w:eastAsia="Aptos"/>
                <w:b w:val="0"/>
                <w:sz w:val="17"/>
              </w:rPr>
              <w:t>housing_data.csv.</w:t>
            </w:r>
          </w:p>
        </w:tc>
      </w:tr>
      <w:tr>
        <w:tc>
          <w:tcPr>
            <w:tcW w:type="dxa" w:w="5040"/>
            <w:vAlign w:val="top"/>
          </w:tcPr>
          <w:p>
            <w:r/>
            <w:r>
              <w:rPr>
                <w:rFonts w:ascii="Aptos" w:hAnsi="Aptos" w:eastAsia="Aptos"/>
                <w:b w:val="0"/>
                <w:sz w:val="17"/>
              </w:rPr>
              <w:t>Forma</w:t>
            </w:r>
          </w:p>
        </w:tc>
        <w:tc>
          <w:tcPr>
            <w:tcW w:type="dxa" w:w="5040"/>
            <w:vAlign w:val="top"/>
          </w:tcPr>
          <w:p>
            <w:r/>
            <w:r>
              <w:rPr>
                <w:rFonts w:ascii="Aptos" w:hAnsi="Aptos" w:eastAsia="Aptos"/>
                <w:b w:val="0"/>
                <w:sz w:val="17"/>
              </w:rPr>
              <w:t>13.580 filas y 21 columnas.</w:t>
            </w:r>
          </w:p>
        </w:tc>
      </w:tr>
      <w:tr>
        <w:tc>
          <w:tcPr>
            <w:tcW w:type="dxa" w:w="5040"/>
            <w:vAlign w:val="top"/>
          </w:tcPr>
          <w:p>
            <w:r/>
            <w:r>
              <w:rPr>
                <w:rFonts w:ascii="Aptos" w:hAnsi="Aptos" w:eastAsia="Aptos"/>
                <w:b w:val="0"/>
                <w:sz w:val="17"/>
              </w:rPr>
              <w:t>Ventana temporal</w:t>
            </w:r>
          </w:p>
        </w:tc>
        <w:tc>
          <w:tcPr>
            <w:tcW w:type="dxa" w:w="5040"/>
            <w:vAlign w:val="top"/>
          </w:tcPr>
          <w:p>
            <w:r/>
            <w:r>
              <w:rPr>
                <w:rFonts w:ascii="Aptos" w:hAnsi="Aptos" w:eastAsia="Aptos"/>
                <w:b w:val="0"/>
                <w:sz w:val="17"/>
              </w:rPr>
              <w:t>2016-01-28 a 2017-09-23.</w:t>
            </w:r>
          </w:p>
        </w:tc>
      </w:tr>
      <w:tr>
        <w:tc>
          <w:tcPr>
            <w:tcW w:type="dxa" w:w="5040"/>
            <w:vAlign w:val="top"/>
          </w:tcPr>
          <w:p>
            <w:r/>
            <w:r>
              <w:rPr>
                <w:rFonts w:ascii="Aptos" w:hAnsi="Aptos" w:eastAsia="Aptos"/>
                <w:b w:val="0"/>
                <w:sz w:val="17"/>
              </w:rPr>
              <w:t>Partición</w:t>
            </w:r>
          </w:p>
        </w:tc>
        <w:tc>
          <w:tcPr>
            <w:tcW w:type="dxa" w:w="5040"/>
            <w:vAlign w:val="top"/>
          </w:tcPr>
          <w:p>
            <w:r/>
            <w:r>
              <w:rPr>
                <w:rFonts w:ascii="Aptos" w:hAnsi="Aptos" w:eastAsia="Aptos"/>
                <w:b w:val="0"/>
                <w:sz w:val="17"/>
              </w:rPr>
              <w:t>6.336 observaciones en 2016 y 7.244 en 2017.</w:t>
            </w:r>
          </w:p>
        </w:tc>
      </w:tr>
      <w:tr>
        <w:tc>
          <w:tcPr>
            <w:tcW w:type="dxa" w:w="5040"/>
            <w:vAlign w:val="top"/>
          </w:tcPr>
          <w:p>
            <w:r/>
            <w:r>
              <w:rPr>
                <w:rFonts w:ascii="Aptos" w:hAnsi="Aptos" w:eastAsia="Aptos"/>
                <w:b w:val="0"/>
                <w:sz w:val="17"/>
              </w:rPr>
              <w:t>Price</w:t>
            </w:r>
          </w:p>
        </w:tc>
        <w:tc>
          <w:tcPr>
            <w:tcW w:type="dxa" w:w="5040"/>
            <w:vAlign w:val="top"/>
          </w:tcPr>
          <w:p>
            <w:r/>
            <w:r>
              <w:rPr>
                <w:rFonts w:ascii="Aptos" w:hAnsi="Aptos" w:eastAsia="Aptos"/>
                <w:b w:val="0"/>
                <w:sz w:val="17"/>
              </w:rPr>
              <w:t>Sin nulos; rango 85.000 a 9.000.000.</w:t>
            </w:r>
          </w:p>
        </w:tc>
      </w:tr>
      <w:tr>
        <w:tc>
          <w:tcPr>
            <w:tcW w:type="dxa" w:w="5040"/>
            <w:vAlign w:val="top"/>
          </w:tcPr>
          <w:p>
            <w:r/>
            <w:r>
              <w:rPr>
                <w:rFonts w:ascii="Aptos" w:hAnsi="Aptos" w:eastAsia="Aptos"/>
                <w:b w:val="0"/>
                <w:sz w:val="17"/>
              </w:rPr>
              <w:t>Cobertura</w:t>
            </w:r>
          </w:p>
        </w:tc>
        <w:tc>
          <w:tcPr>
            <w:tcW w:type="dxa" w:w="5040"/>
            <w:vAlign w:val="top"/>
          </w:tcPr>
          <w:p>
            <w:r/>
            <w:r>
              <w:rPr>
                <w:rFonts w:ascii="Aptos" w:hAnsi="Aptos" w:eastAsia="Aptos"/>
                <w:b w:val="0"/>
                <w:sz w:val="17"/>
              </w:rPr>
              <w:t>314 suburbios, 8 regiones y 268 vendedores.</w:t>
            </w:r>
          </w:p>
        </w:tc>
      </w:tr>
      <w:tr>
        <w:tc>
          <w:tcPr>
            <w:tcW w:type="dxa" w:w="5040"/>
            <w:vAlign w:val="top"/>
          </w:tcPr>
          <w:p>
            <w:r/>
            <w:r>
              <w:rPr>
                <w:rFonts w:ascii="Aptos" w:hAnsi="Aptos" w:eastAsia="Aptos"/>
                <w:b w:val="0"/>
                <w:sz w:val="17"/>
              </w:rPr>
              <w:t>Tipos presentes</w:t>
            </w:r>
          </w:p>
        </w:tc>
        <w:tc>
          <w:tcPr>
            <w:tcW w:type="dxa" w:w="5040"/>
            <w:vAlign w:val="top"/>
          </w:tcPr>
          <w:p>
            <w:r/>
            <w:r>
              <w:rPr>
                <w:rFonts w:ascii="Aptos" w:hAnsi="Aptos" w:eastAsia="Aptos"/>
                <w:b w:val="0"/>
                <w:sz w:val="17"/>
              </w:rPr>
              <w:t>h, u, t.</w:t>
            </w:r>
          </w:p>
        </w:tc>
      </w:tr>
      <w:tr>
        <w:tc>
          <w:tcPr>
            <w:tcW w:type="dxa" w:w="5040"/>
            <w:vAlign w:val="top"/>
          </w:tcPr>
          <w:p>
            <w:r/>
            <w:r>
              <w:rPr>
                <w:rFonts w:ascii="Aptos" w:hAnsi="Aptos" w:eastAsia="Aptos"/>
                <w:b w:val="0"/>
                <w:sz w:val="17"/>
              </w:rPr>
              <w:t>Discrepancia del enunciado</w:t>
            </w:r>
          </w:p>
        </w:tc>
        <w:tc>
          <w:tcPr>
            <w:tcW w:type="dxa" w:w="5040"/>
            <w:vAlign w:val="top"/>
          </w:tcPr>
          <w:p>
            <w:r/>
            <w:r>
              <w:rPr>
                <w:rFonts w:ascii="Aptos" w:hAnsi="Aptos" w:eastAsia="Aptos"/>
                <w:b w:val="0"/>
                <w:sz w:val="17"/>
              </w:rPr>
              <w:t>El enunciado declara 21 atributos pero enumera 15; YearBuilt está en el archivo aunque no aparece en la enumeración.</w:t>
            </w:r>
          </w:p>
        </w:tc>
      </w:tr>
      <w:tr>
        <w:tc>
          <w:tcPr>
            <w:tcW w:type="dxa" w:w="5040"/>
            <w:vAlign w:val="top"/>
          </w:tcPr>
          <w:p>
            <w:r/>
            <w:r>
              <w:rPr>
                <w:rFonts w:ascii="Aptos" w:hAnsi="Aptos" w:eastAsia="Aptos"/>
                <w:b w:val="0"/>
                <w:sz w:val="17"/>
              </w:rPr>
              <w:t>Fecha</w:t>
            </w:r>
          </w:p>
        </w:tc>
        <w:tc>
          <w:tcPr>
            <w:tcW w:type="dxa" w:w="5040"/>
            <w:vAlign w:val="top"/>
          </w:tcPr>
          <w:p>
            <w:r/>
            <w:r>
              <w:rPr>
                <w:rFonts w:ascii="Aptos" w:hAnsi="Aptos" w:eastAsia="Aptos"/>
                <w:b w:val="0"/>
                <w:sz w:val="17"/>
              </w:rPr>
              <w:t>Debe leerse con dayfirst=True. Hay 8.442 filas con día mayor que 12; un parseo incorrecto rompe el corte 2016/2017.</w:t>
            </w:r>
          </w:p>
        </w:tc>
      </w:tr>
      <w:tr>
        <w:tc>
          <w:tcPr>
            <w:tcW w:type="dxa" w:w="5040"/>
            <w:vAlign w:val="top"/>
          </w:tcPr>
          <w:p>
            <w:r/>
            <w:r>
              <w:rPr>
                <w:rFonts w:ascii="Aptos" w:hAnsi="Aptos" w:eastAsia="Aptos"/>
                <w:b w:val="0"/>
                <w:sz w:val="17"/>
              </w:rPr>
              <w:t>Procedencia</w:t>
            </w:r>
          </w:p>
        </w:tc>
        <w:tc>
          <w:tcPr>
            <w:tcW w:type="dxa" w:w="5040"/>
            <w:vAlign w:val="top"/>
          </w:tcPr>
          <w:p>
            <w:r/>
            <w:r>
              <w:rPr>
                <w:rFonts w:ascii="Aptos" w:hAnsi="Aptos" w:eastAsia="Aptos"/>
                <w:b w:val="0"/>
                <w:sz w:val="17"/>
              </w:rPr>
              <w:t>El archivo se controla por SHA-256 y no es automáticamente comparable con snapshots públicos de 18.396 filas.</w:t>
            </w:r>
          </w:p>
        </w:tc>
      </w:tr>
    </w:tbl>
    <w:tbl>
      <w:tblPr>
        <w:tblW w:type="auto" w:w="0"/>
        <w:jc w:val="center"/>
        <w:tblLayout w:type="autofit"/>
        <w:tblLook w:firstColumn="1" w:firstRow="1" w:lastColumn="0" w:lastRow="0" w:noHBand="0" w:noVBand="1" w:val="04A0"/>
      </w:tblPr>
      <w:tblGrid>
        <w:gridCol w:w="10080"/>
      </w:tblGrid>
      <w:tr>
        <w:tc>
          <w:tcPr>
            <w:tcW w:type="dxa" w:w="10080"/>
            <w:shd w:fill="FFF7EA"/>
          </w:tcPr>
          <w:p>
            <w:r>
              <w:rPr>
                <w:rFonts w:ascii="Aptos" w:hAnsi="Aptos"/>
                <w:b/>
                <w:color w:val="0B1F3A"/>
                <w:sz w:val="21"/>
              </w:rPr>
              <w:t>Corrección crítica sobre “ventas”</w:t>
            </w:r>
          </w:p>
          <w:p>
            <w:pPr>
              <w:pStyle w:val="BoxText"/>
            </w:pPr>
            <w:r>
              <w:t>El requerimiento dice “ventas de propiedades”. Por eso Method no puede quedar como columna decorativa. Antes de modelar debe definirse qué valores de Method constituyen ventas efectivas y qué valores son oferta, retiro, sin oferta o precio no disponible. Si se filtra por ventas efectivas, deben recalcularse conteos, medianas, baseline y hallazgos del EDA.</w:t>
            </w:r>
          </w:p>
        </w:tc>
      </w:tr>
    </w:tbl>
    <w:p>
      <w:pPr>
        <w:pStyle w:val="Heading1"/>
      </w:pPr>
      <w:r>
        <w:t>5. EDA que sí sustenta la hipótesis</w:t>
      </w:r>
    </w:p>
    <w:p>
      <w:r>
        <w:t>El EDA debe formar una cadena lógica. No se trata de mostrar muchos gráficos, sino de demostrar por qué la hipótesis principal y la hipótesis secundaria son razonables.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1F3A"/>
            <w:vAlign w:val="top"/>
          </w:tcPr>
          <w:p>
            <w:r/>
            <w:r>
              <w:rPr>
                <w:rFonts w:ascii="Aptos" w:hAnsi="Aptos" w:eastAsia="Aptos"/>
                <w:b/>
                <w:color w:val="FFFFFF"/>
                <w:sz w:val="17"/>
              </w:rPr>
              <w:t>Evidencia</w:t>
            </w:r>
          </w:p>
        </w:tc>
        <w:tc>
          <w:tcPr>
            <w:tcW w:type="dxa" w:w="3360"/>
            <w:shd w:fill="0B1F3A"/>
            <w:vAlign w:val="top"/>
          </w:tcPr>
          <w:p>
            <w:r/>
            <w:r>
              <w:rPr>
                <w:rFonts w:ascii="Aptos" w:hAnsi="Aptos" w:eastAsia="Aptos"/>
                <w:b/>
                <w:color w:val="FFFFFF"/>
                <w:sz w:val="17"/>
              </w:rPr>
              <w:t>Cifra / hallazgo</w:t>
            </w:r>
          </w:p>
        </w:tc>
        <w:tc>
          <w:tcPr>
            <w:tcW w:type="dxa" w:w="3360"/>
            <w:shd w:fill="0B1F3A"/>
            <w:vAlign w:val="top"/>
          </w:tcPr>
          <w:p>
            <w:r/>
            <w:r>
              <w:rPr>
                <w:rFonts w:ascii="Aptos" w:hAnsi="Aptos" w:eastAsia="Aptos"/>
                <w:b/>
                <w:color w:val="FFFFFF"/>
                <w:sz w:val="17"/>
              </w:rPr>
              <w:t>Lectura para la hipótesis</w:t>
            </w:r>
          </w:p>
        </w:tc>
      </w:tr>
      <w:tr>
        <w:tc>
          <w:tcPr>
            <w:tcW w:type="dxa" w:w="3360"/>
            <w:vAlign w:val="top"/>
          </w:tcPr>
          <w:p>
            <w:r/>
            <w:r>
              <w:rPr>
                <w:rFonts w:ascii="Aptos" w:hAnsi="Aptos" w:eastAsia="Aptos"/>
                <w:b w:val="0"/>
                <w:sz w:val="17"/>
              </w:rPr>
              <w:t>Mediana global</w:t>
            </w:r>
          </w:p>
        </w:tc>
        <w:tc>
          <w:tcPr>
            <w:tcW w:type="dxa" w:w="3360"/>
            <w:vAlign w:val="top"/>
          </w:tcPr>
          <w:p>
            <w:r/>
            <w:r>
              <w:rPr>
                <w:rFonts w:ascii="Aptos" w:hAnsi="Aptos" w:eastAsia="Aptos"/>
                <w:b w:val="0"/>
                <w:sz w:val="17"/>
              </w:rPr>
              <w:t>2016: 900.000; 2017: 910.000; variación +1,11%.</w:t>
            </w:r>
          </w:p>
        </w:tc>
        <w:tc>
          <w:tcPr>
            <w:tcW w:type="dxa" w:w="3360"/>
            <w:vAlign w:val="top"/>
          </w:tcPr>
          <w:p>
            <w:r/>
            <w:r>
              <w:rPr>
                <w:rFonts w:ascii="Aptos" w:hAnsi="Aptos" w:eastAsia="Aptos"/>
                <w:b w:val="0"/>
                <w:sz w:val="17"/>
              </w:rPr>
              <w:t>El nivel agregado parece estable; una comparación ingenua haría parecer trivial el problema.</w:t>
            </w:r>
          </w:p>
        </w:tc>
      </w:tr>
      <w:tr>
        <w:tc>
          <w:tcPr>
            <w:tcW w:type="dxa" w:w="3360"/>
            <w:vAlign w:val="top"/>
          </w:tcPr>
          <w:p>
            <w:r/>
            <w:r>
              <w:rPr>
                <w:rFonts w:ascii="Aptos" w:hAnsi="Aptos" w:eastAsia="Aptos"/>
                <w:b w:val="0"/>
                <w:sz w:val="17"/>
              </w:rPr>
              <w:t>Baseline constante</w:t>
            </w:r>
          </w:p>
        </w:tc>
        <w:tc>
          <w:tcPr>
            <w:tcW w:type="dxa" w:w="3360"/>
            <w:vAlign w:val="top"/>
          </w:tcPr>
          <w:p>
            <w:r/>
            <w:r>
              <w:rPr>
                <w:rFonts w:ascii="Aptos" w:hAnsi="Aptos" w:eastAsia="Aptos"/>
                <w:b w:val="0"/>
                <w:sz w:val="17"/>
              </w:rPr>
              <w:t>MAE mediana 2016 sobre 2017: 431.649.</w:t>
            </w:r>
          </w:p>
        </w:tc>
        <w:tc>
          <w:tcPr>
            <w:tcW w:type="dxa" w:w="3360"/>
            <w:vAlign w:val="top"/>
          </w:tcPr>
          <w:p>
            <w:r/>
            <w:r>
              <w:rPr>
                <w:rFonts w:ascii="Aptos" w:hAnsi="Aptos" w:eastAsia="Aptos"/>
                <w:b w:val="0"/>
                <w:sz w:val="17"/>
              </w:rPr>
              <w:t>Todo modelo del Hito 2 debe superar esta referencia antes de reclamar valor predictivo.</w:t>
            </w:r>
          </w:p>
        </w:tc>
      </w:tr>
      <w:tr>
        <w:tc>
          <w:tcPr>
            <w:tcW w:type="dxa" w:w="3360"/>
            <w:vAlign w:val="top"/>
          </w:tcPr>
          <w:p>
            <w:r/>
            <w:r>
              <w:rPr>
                <w:rFonts w:ascii="Aptos" w:hAnsi="Aptos" w:eastAsia="Aptos"/>
                <w:b w:val="0"/>
                <w:sz w:val="17"/>
              </w:rPr>
              <w:t>Brecha oráculo</w:t>
            </w:r>
          </w:p>
        </w:tc>
        <w:tc>
          <w:tcPr>
            <w:tcW w:type="dxa" w:w="3360"/>
            <w:vAlign w:val="top"/>
          </w:tcPr>
          <w:p>
            <w:r/>
            <w:r>
              <w:rPr>
                <w:rFonts w:ascii="Aptos" w:hAnsi="Aptos" w:eastAsia="Aptos"/>
                <w:b w:val="0"/>
                <w:sz w:val="17"/>
              </w:rPr>
              <w:t>Mediana 2017 sobre 2017: MAE 431.564; diferencia de 85 unidades frente a la cota honesta.</w:t>
            </w:r>
          </w:p>
        </w:tc>
        <w:tc>
          <w:tcPr>
            <w:tcW w:type="dxa" w:w="3360"/>
            <w:vAlign w:val="top"/>
          </w:tcPr>
          <w:p>
            <w:r/>
            <w:r>
              <w:rPr>
                <w:rFonts w:ascii="Aptos" w:hAnsi="Aptos" w:eastAsia="Aptos"/>
                <w:b w:val="0"/>
                <w:sz w:val="17"/>
              </w:rPr>
              <w:t>El desplazamiento de la mediana global entre años explica muy poco del error de una constante.</w:t>
            </w:r>
          </w:p>
        </w:tc>
      </w:tr>
      <w:tr>
        <w:tc>
          <w:tcPr>
            <w:tcW w:type="dxa" w:w="3360"/>
            <w:vAlign w:val="top"/>
          </w:tcPr>
          <w:p>
            <w:r/>
            <w:r>
              <w:rPr>
                <w:rFonts w:ascii="Aptos" w:hAnsi="Aptos" w:eastAsia="Aptos"/>
                <w:b w:val="0"/>
                <w:sz w:val="17"/>
              </w:rPr>
              <w:t>Soporte geográfico</w:t>
            </w:r>
          </w:p>
        </w:tc>
        <w:tc>
          <w:tcPr>
            <w:tcW w:type="dxa" w:w="3360"/>
            <w:vAlign w:val="top"/>
          </w:tcPr>
          <w:p>
            <w:r/>
            <w:r>
              <w:rPr>
                <w:rFonts w:ascii="Aptos" w:hAnsi="Aptos" w:eastAsia="Aptos"/>
                <w:b w:val="0"/>
                <w:sz w:val="17"/>
              </w:rPr>
              <w:t>2016 cubre 142 suburbios; 2017 ocurre en 313.</w:t>
            </w:r>
          </w:p>
        </w:tc>
        <w:tc>
          <w:tcPr>
            <w:tcW w:type="dxa" w:w="3360"/>
            <w:vAlign w:val="top"/>
          </w:tcPr>
          <w:p>
            <w:r/>
            <w:r>
              <w:rPr>
                <w:rFonts w:ascii="Aptos" w:hAnsi="Aptos" w:eastAsia="Aptos"/>
                <w:b w:val="0"/>
                <w:sz w:val="17"/>
              </w:rPr>
              <w:t>La evaluación no está completamente cubierta por el entrenamiento.</w:t>
            </w:r>
          </w:p>
        </w:tc>
      </w:tr>
      <w:tr>
        <w:tc>
          <w:tcPr>
            <w:tcW w:type="dxa" w:w="3360"/>
            <w:vAlign w:val="top"/>
          </w:tcPr>
          <w:p>
            <w:r/>
            <w:r>
              <w:rPr>
                <w:rFonts w:ascii="Aptos" w:hAnsi="Aptos" w:eastAsia="Aptos"/>
                <w:b w:val="0"/>
                <w:sz w:val="17"/>
              </w:rPr>
              <w:t>Suburbios no vistos</w:t>
            </w:r>
          </w:p>
        </w:tc>
        <w:tc>
          <w:tcPr>
            <w:tcW w:type="dxa" w:w="3360"/>
            <w:vAlign w:val="top"/>
          </w:tcPr>
          <w:p>
            <w:r/>
            <w:r>
              <w:rPr>
                <w:rFonts w:ascii="Aptos" w:hAnsi="Aptos" w:eastAsia="Aptos"/>
                <w:b w:val="0"/>
                <w:sz w:val="17"/>
              </w:rPr>
              <w:t>2.109 filas de 2017; 29,1% de la evaluación.</w:t>
            </w:r>
          </w:p>
        </w:tc>
        <w:tc>
          <w:tcPr>
            <w:tcW w:type="dxa" w:w="3360"/>
            <w:vAlign w:val="top"/>
          </w:tcPr>
          <w:p>
            <w:r/>
            <w:r>
              <w:rPr>
                <w:rFonts w:ascii="Aptos" w:hAnsi="Aptos" w:eastAsia="Aptos"/>
                <w:b w:val="0"/>
                <w:sz w:val="17"/>
              </w:rPr>
              <w:t>La hipótesis secundaria queda justificada: parte importante de 2017 está fuera del soporte categórico de 2016.</w:t>
            </w:r>
          </w:p>
        </w:tc>
      </w:tr>
      <w:tr>
        <w:tc>
          <w:tcPr>
            <w:tcW w:type="dxa" w:w="3360"/>
            <w:vAlign w:val="top"/>
          </w:tcPr>
          <w:p>
            <w:r/>
            <w:r>
              <w:rPr>
                <w:rFonts w:ascii="Aptos" w:hAnsi="Aptos" w:eastAsia="Aptos"/>
                <w:b w:val="0"/>
                <w:sz w:val="17"/>
              </w:rPr>
              <w:t>Diferencia de nuevos suburbios</w:t>
            </w:r>
          </w:p>
        </w:tc>
        <w:tc>
          <w:tcPr>
            <w:tcW w:type="dxa" w:w="3360"/>
            <w:vAlign w:val="top"/>
          </w:tcPr>
          <w:p>
            <w:r/>
            <w:r>
              <w:rPr>
                <w:rFonts w:ascii="Aptos" w:hAnsi="Aptos" w:eastAsia="Aptos"/>
                <w:b w:val="0"/>
                <w:sz w:val="17"/>
              </w:rPr>
              <w:t>Mediana Price: 755.000 en nuevos vs 999.000 en vistos; distancia mediana: 17,9 km vs 8 km.</w:t>
            </w:r>
          </w:p>
        </w:tc>
        <w:tc>
          <w:tcPr>
            <w:tcW w:type="dxa" w:w="3360"/>
            <w:vAlign w:val="top"/>
          </w:tcPr>
          <w:p>
            <w:r/>
            <w:r>
              <w:rPr>
                <w:rFonts w:ascii="Aptos" w:hAnsi="Aptos" w:eastAsia="Aptos"/>
                <w:b w:val="0"/>
                <w:sz w:val="17"/>
              </w:rPr>
              <w:t>No son niveles nuevos neutros; tienen estructura propia y pueden elevar el error.</w:t>
            </w:r>
          </w:p>
        </w:tc>
      </w:tr>
      <w:tr>
        <w:tc>
          <w:tcPr>
            <w:tcW w:type="dxa" w:w="3360"/>
            <w:vAlign w:val="top"/>
          </w:tcPr>
          <w:p>
            <w:r/>
            <w:r>
              <w:rPr>
                <w:rFonts w:ascii="Aptos" w:hAnsi="Aptos" w:eastAsia="Aptos"/>
                <w:b w:val="0"/>
                <w:sz w:val="17"/>
              </w:rPr>
              <w:t>Composición por soporte</w:t>
            </w:r>
          </w:p>
        </w:tc>
        <w:tc>
          <w:tcPr>
            <w:tcW w:type="dxa" w:w="3360"/>
            <w:vAlign w:val="top"/>
          </w:tcPr>
          <w:p>
            <w:r/>
            <w:r>
              <w:rPr>
                <w:rFonts w:ascii="Aptos" w:hAnsi="Aptos" w:eastAsia="Aptos"/>
                <w:b w:val="0"/>
                <w:sz w:val="17"/>
              </w:rPr>
              <w:t>Mediana 2017 restringida al soporte de suburbios 2016: 999.000.</w:t>
            </w:r>
          </w:p>
        </w:tc>
        <w:tc>
          <w:tcPr>
            <w:tcW w:type="dxa" w:w="3360"/>
            <w:vAlign w:val="top"/>
          </w:tcPr>
          <w:p>
            <w:r/>
            <w:r>
              <w:rPr>
                <w:rFonts w:ascii="Aptos" w:hAnsi="Aptos" w:eastAsia="Aptos"/>
                <w:b w:val="0"/>
                <w:sz w:val="17"/>
              </w:rPr>
              <w:t>El agregado mezcla cambio temporal con cambio de composición geográfica.</w:t>
            </w:r>
          </w:p>
        </w:tc>
      </w:tr>
    </w:tbl>
    <w:p>
      <w:pPr>
        <w:pStyle w:val="Heading1"/>
      </w:pPr>
      <w:r>
        <w:t>6. Lo que debe cambiar en la presentación</w:t>
      </w:r>
    </w:p>
    <w:tbl>
      <w:tblPr>
        <w:tblStyle w:val="TableGrid"/>
        <w:tblW w:type="auto" w:w="0"/>
        <w:jc w:val="center"/>
        <w:tblLook w:firstColumn="1" w:firstRow="1" w:lastColumn="0" w:lastRow="0" w:noHBand="0" w:noVBand="1" w:val="04A0"/>
      </w:tblPr>
      <w:tblGrid>
        <w:gridCol w:w="5040"/>
        <w:gridCol w:w="5040"/>
      </w:tblGrid>
      <w:tr>
        <w:tc>
          <w:tcPr>
            <w:tcW w:type="dxa" w:w="5040"/>
            <w:shd w:fill="0B1F3A"/>
            <w:vAlign w:val="top"/>
          </w:tcPr>
          <w:p>
            <w:r/>
            <w:r>
              <w:rPr>
                <w:rFonts w:ascii="Aptos" w:hAnsi="Aptos" w:eastAsia="Aptos"/>
                <w:b/>
                <w:color w:val="FFFFFF"/>
                <w:sz w:val="17"/>
              </w:rPr>
              <w:t>Antes</w:t>
            </w:r>
          </w:p>
        </w:tc>
        <w:tc>
          <w:tcPr>
            <w:tcW w:type="dxa" w:w="5040"/>
            <w:shd w:fill="0B1F3A"/>
            <w:vAlign w:val="top"/>
          </w:tcPr>
          <w:p>
            <w:r/>
            <w:r>
              <w:rPr>
                <w:rFonts w:ascii="Aptos" w:hAnsi="Aptos" w:eastAsia="Aptos"/>
                <w:b/>
                <w:color w:val="FFFFFF"/>
                <w:sz w:val="17"/>
              </w:rPr>
              <w:t>Corrección recomendada</w:t>
            </w:r>
          </w:p>
        </w:tc>
      </w:tr>
      <w:tr>
        <w:tc>
          <w:tcPr>
            <w:tcW w:type="dxa" w:w="5040"/>
            <w:vAlign w:val="top"/>
          </w:tcPr>
          <w:p>
            <w:r/>
            <w:r>
              <w:rPr>
                <w:rFonts w:ascii="Aptos" w:hAnsi="Aptos" w:eastAsia="Aptos"/>
                <w:b w:val="0"/>
                <w:sz w:val="17"/>
              </w:rPr>
              <w:t>“El problema no es predecir el futuro.”</w:t>
            </w:r>
          </w:p>
        </w:tc>
        <w:tc>
          <w:tcPr>
            <w:tcW w:type="dxa" w:w="5040"/>
            <w:vAlign w:val="top"/>
          </w:tcPr>
          <w:p>
            <w:r/>
            <w:r>
              <w:rPr>
                <w:rFonts w:ascii="Aptos" w:hAnsi="Aptos" w:eastAsia="Aptos"/>
                <w:b w:val="0"/>
                <w:sz w:val="17"/>
              </w:rPr>
              <w:t>“El problema es predecir 2017; el EDA muestra que ese salto temporal incluye un cambio geográfico relevante.”</w:t>
            </w:r>
          </w:p>
        </w:tc>
      </w:tr>
      <w:tr>
        <w:tc>
          <w:tcPr>
            <w:tcW w:type="dxa" w:w="5040"/>
            <w:vAlign w:val="top"/>
          </w:tcPr>
          <w:p>
            <w:r/>
            <w:r>
              <w:rPr>
                <w:rFonts w:ascii="Aptos" w:hAnsi="Aptos" w:eastAsia="Aptos"/>
                <w:b w:val="0"/>
                <w:sz w:val="17"/>
              </w:rPr>
              <w:t>“A igualdad de suburbio, el alza fue 11%.”</w:t>
            </w:r>
          </w:p>
        </w:tc>
        <w:tc>
          <w:tcPr>
            <w:tcW w:type="dxa" w:w="5040"/>
            <w:vAlign w:val="top"/>
          </w:tcPr>
          <w:p>
            <w:r/>
            <w:r>
              <w:rPr>
                <w:rFonts w:ascii="Aptos" w:hAnsi="Aptos" w:eastAsia="Aptos"/>
                <w:b w:val="0"/>
                <w:sz w:val="17"/>
              </w:rPr>
              <w:t>“Restringiendo 2017 al soporte de suburbios observado en 2016, la mediana aumenta 11%.”</w:t>
            </w:r>
          </w:p>
        </w:tc>
      </w:tr>
      <w:tr>
        <w:tc>
          <w:tcPr>
            <w:tcW w:type="dxa" w:w="5040"/>
            <w:vAlign w:val="top"/>
          </w:tcPr>
          <w:p>
            <w:r/>
            <w:r>
              <w:rPr>
                <w:rFonts w:ascii="Aptos" w:hAnsi="Aptos" w:eastAsia="Aptos"/>
                <w:b w:val="0"/>
                <w:sz w:val="17"/>
              </w:rPr>
              <w:t>“Reversión de Simpson.”</w:t>
            </w:r>
          </w:p>
        </w:tc>
        <w:tc>
          <w:tcPr>
            <w:tcW w:type="dxa" w:w="5040"/>
            <w:vAlign w:val="top"/>
          </w:tcPr>
          <w:p>
            <w:r/>
            <w:r>
              <w:rPr>
                <w:rFonts w:ascii="Aptos" w:hAnsi="Aptos" w:eastAsia="Aptos"/>
                <w:b w:val="0"/>
                <w:sz w:val="17"/>
              </w:rPr>
              <w:t>“Efecto de composición geográfica”, salvo que se demuestre formalmente dentro de estratos comparables.</w:t>
            </w:r>
          </w:p>
        </w:tc>
      </w:tr>
      <w:tr>
        <w:tc>
          <w:tcPr>
            <w:tcW w:type="dxa" w:w="5040"/>
            <w:vAlign w:val="top"/>
          </w:tcPr>
          <w:p>
            <w:r/>
            <w:r>
              <w:rPr>
                <w:rFonts w:ascii="Aptos" w:hAnsi="Aptos" w:eastAsia="Aptos"/>
                <w:b w:val="0"/>
                <w:sz w:val="17"/>
              </w:rPr>
              <w:t>“La deriva temporal aporta 0,02% del error.”</w:t>
            </w:r>
          </w:p>
        </w:tc>
        <w:tc>
          <w:tcPr>
            <w:tcW w:type="dxa" w:w="5040"/>
            <w:vAlign w:val="top"/>
          </w:tcPr>
          <w:p>
            <w:r/>
            <w:r>
              <w:rPr>
                <w:rFonts w:ascii="Aptos" w:hAnsi="Aptos" w:eastAsia="Aptos"/>
                <w:b w:val="0"/>
                <w:sz w:val="17"/>
              </w:rPr>
              <w:t>“El desplazamiento de la mediana global entre años reduce apenas 0,02% el MAE de la línea base constante.”</w:t>
            </w:r>
          </w:p>
        </w:tc>
      </w:tr>
      <w:tr>
        <w:tc>
          <w:tcPr>
            <w:tcW w:type="dxa" w:w="5040"/>
            <w:vAlign w:val="top"/>
          </w:tcPr>
          <w:p>
            <w:r/>
            <w:r>
              <w:rPr>
                <w:rFonts w:ascii="Aptos" w:hAnsi="Aptos" w:eastAsia="Aptos"/>
                <w:b w:val="0"/>
                <w:sz w:val="17"/>
              </w:rPr>
              <w:t>“Todas las filas son ventas.”</w:t>
            </w:r>
          </w:p>
        </w:tc>
        <w:tc>
          <w:tcPr>
            <w:tcW w:type="dxa" w:w="5040"/>
            <w:vAlign w:val="top"/>
          </w:tcPr>
          <w:p>
            <w:r/>
            <w:r>
              <w:rPr>
                <w:rFonts w:ascii="Aptos" w:hAnsi="Aptos" w:eastAsia="Aptos"/>
                <w:b w:val="0"/>
                <w:sz w:val="17"/>
              </w:rPr>
              <w:t>“El archivo contiene Price, pero Method debe revisarse para asegurar que el universo corresponda a ventas según el mandato.”</w:t>
            </w:r>
          </w:p>
        </w:tc>
      </w:tr>
    </w:tbl>
    <w:p>
      <w:pPr>
        <w:pStyle w:val="Heading1"/>
      </w:pPr>
      <w:r>
        <w:t>7. Guion propuesto de la presentación oral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B1F3A"/>
            <w:vAlign w:val="top"/>
          </w:tcPr>
          <w:p>
            <w:r/>
            <w:r>
              <w:rPr>
                <w:rFonts w:ascii="Aptos" w:hAnsi="Aptos" w:eastAsia="Aptos"/>
                <w:b/>
                <w:color w:val="FFFFFF"/>
                <w:sz w:val="17"/>
              </w:rPr>
              <w:t>Lámina</w:t>
            </w:r>
          </w:p>
        </w:tc>
        <w:tc>
          <w:tcPr>
            <w:tcW w:type="dxa" w:w="3360"/>
            <w:shd w:fill="0B1F3A"/>
            <w:vAlign w:val="top"/>
          </w:tcPr>
          <w:p>
            <w:r/>
            <w:r>
              <w:rPr>
                <w:rFonts w:ascii="Aptos" w:hAnsi="Aptos" w:eastAsia="Aptos"/>
                <w:b/>
                <w:color w:val="FFFFFF"/>
                <w:sz w:val="17"/>
              </w:rPr>
              <w:t>Título</w:t>
            </w:r>
          </w:p>
        </w:tc>
        <w:tc>
          <w:tcPr>
            <w:tcW w:type="dxa" w:w="3360"/>
            <w:shd w:fill="0B1F3A"/>
            <w:vAlign w:val="top"/>
          </w:tcPr>
          <w:p>
            <w:r/>
            <w:r>
              <w:rPr>
                <w:rFonts w:ascii="Aptos" w:hAnsi="Aptos" w:eastAsia="Aptos"/>
                <w:b/>
                <w:color w:val="FFFFFF"/>
                <w:sz w:val="17"/>
              </w:rPr>
              <w:t>Mensaje que debe quedar</w:t>
            </w:r>
          </w:p>
        </w:tc>
      </w:tr>
      <w:tr>
        <w:tc>
          <w:tcPr>
            <w:tcW w:type="dxa" w:w="3360"/>
            <w:vAlign w:val="top"/>
          </w:tcPr>
          <w:p>
            <w:r/>
            <w:r>
              <w:rPr>
                <w:rFonts w:ascii="Aptos" w:hAnsi="Aptos" w:eastAsia="Aptos"/>
                <w:b w:val="0"/>
                <w:sz w:val="17"/>
              </w:rPr>
              <w:t>1</w:t>
            </w:r>
          </w:p>
        </w:tc>
        <w:tc>
          <w:tcPr>
            <w:tcW w:type="dxa" w:w="3360"/>
            <w:vAlign w:val="top"/>
          </w:tcPr>
          <w:p>
            <w:r/>
            <w:r>
              <w:rPr>
                <w:rFonts w:ascii="Aptos" w:hAnsi="Aptos" w:eastAsia="Aptos"/>
                <w:b w:val="0"/>
                <w:sz w:val="17"/>
              </w:rPr>
              <w:t>Predicción de valor de propiedades</w:t>
            </w:r>
          </w:p>
        </w:tc>
        <w:tc>
          <w:tcPr>
            <w:tcW w:type="dxa" w:w="3360"/>
            <w:vAlign w:val="top"/>
          </w:tcPr>
          <w:p>
            <w:r/>
            <w:r>
              <w:rPr>
                <w:rFonts w:ascii="Aptos" w:hAnsi="Aptos" w:eastAsia="Aptos"/>
                <w:b w:val="0"/>
                <w:sz w:val="17"/>
              </w:rPr>
              <w:t>El objetivo es entrenar con 2016 y evaluar 2017.</w:t>
            </w:r>
          </w:p>
        </w:tc>
      </w:tr>
      <w:tr>
        <w:tc>
          <w:tcPr>
            <w:tcW w:type="dxa" w:w="3360"/>
            <w:vAlign w:val="top"/>
          </w:tcPr>
          <w:p>
            <w:r/>
            <w:r>
              <w:rPr>
                <w:rFonts w:ascii="Aptos" w:hAnsi="Aptos" w:eastAsia="Aptos"/>
                <w:b w:val="0"/>
                <w:sz w:val="17"/>
              </w:rPr>
              <w:t>2</w:t>
            </w:r>
          </w:p>
        </w:tc>
        <w:tc>
          <w:tcPr>
            <w:tcW w:type="dxa" w:w="3360"/>
            <w:vAlign w:val="top"/>
          </w:tcPr>
          <w:p>
            <w:r/>
            <w:r>
              <w:rPr>
                <w:rFonts w:ascii="Aptos" w:hAnsi="Aptos" w:eastAsia="Aptos"/>
                <w:b w:val="0"/>
                <w:sz w:val="17"/>
              </w:rPr>
              <w:t>Mandato del proyecto</w:t>
            </w:r>
          </w:p>
        </w:tc>
        <w:tc>
          <w:tcPr>
            <w:tcW w:type="dxa" w:w="3360"/>
            <w:vAlign w:val="top"/>
          </w:tcPr>
          <w:p>
            <w:r/>
            <w:r>
              <w:rPr>
                <w:rFonts w:ascii="Aptos" w:hAnsi="Aptos" w:eastAsia="Aptos"/>
                <w:b w:val="0"/>
                <w:sz w:val="17"/>
              </w:rPr>
              <w:t>La partición temporal no es una decisión del grupo; viene dada por el profesor.</w:t>
            </w:r>
          </w:p>
        </w:tc>
      </w:tr>
      <w:tr>
        <w:tc>
          <w:tcPr>
            <w:tcW w:type="dxa" w:w="3360"/>
            <w:vAlign w:val="top"/>
          </w:tcPr>
          <w:p>
            <w:r/>
            <w:r>
              <w:rPr>
                <w:rFonts w:ascii="Aptos" w:hAnsi="Aptos" w:eastAsia="Aptos"/>
                <w:b w:val="0"/>
                <w:sz w:val="17"/>
              </w:rPr>
              <w:t>3</w:t>
            </w:r>
          </w:p>
        </w:tc>
        <w:tc>
          <w:tcPr>
            <w:tcW w:type="dxa" w:w="3360"/>
            <w:vAlign w:val="top"/>
          </w:tcPr>
          <w:p>
            <w:r/>
            <w:r>
              <w:rPr>
                <w:rFonts w:ascii="Aptos" w:hAnsi="Aptos" w:eastAsia="Aptos"/>
                <w:b w:val="0"/>
                <w:sz w:val="17"/>
              </w:rPr>
              <w:t>Pregunta e hipótesis</w:t>
            </w:r>
          </w:p>
        </w:tc>
        <w:tc>
          <w:tcPr>
            <w:tcW w:type="dxa" w:w="3360"/>
            <w:vAlign w:val="top"/>
          </w:tcPr>
          <w:p>
            <w:r/>
            <w:r>
              <w:rPr>
                <w:rFonts w:ascii="Aptos" w:hAnsi="Aptos" w:eastAsia="Aptos"/>
                <w:b w:val="0"/>
                <w:sz w:val="17"/>
              </w:rPr>
              <w:t>La hipótesis es falsable y se medirá con MAE contra una línea base.</w:t>
            </w:r>
          </w:p>
        </w:tc>
      </w:tr>
      <w:tr>
        <w:tc>
          <w:tcPr>
            <w:tcW w:type="dxa" w:w="3360"/>
            <w:vAlign w:val="top"/>
          </w:tcPr>
          <w:p>
            <w:r/>
            <w:r>
              <w:rPr>
                <w:rFonts w:ascii="Aptos" w:hAnsi="Aptos" w:eastAsia="Aptos"/>
                <w:b w:val="0"/>
                <w:sz w:val="17"/>
              </w:rPr>
              <w:t>4</w:t>
            </w:r>
          </w:p>
        </w:tc>
        <w:tc>
          <w:tcPr>
            <w:tcW w:type="dxa" w:w="3360"/>
            <w:vAlign w:val="top"/>
          </w:tcPr>
          <w:p>
            <w:r/>
            <w:r>
              <w:rPr>
                <w:rFonts w:ascii="Aptos" w:hAnsi="Aptos" w:eastAsia="Aptos"/>
                <w:b w:val="0"/>
                <w:sz w:val="17"/>
              </w:rPr>
              <w:t>Descripción exacta de los datos</w:t>
            </w:r>
          </w:p>
        </w:tc>
        <w:tc>
          <w:tcPr>
            <w:tcW w:type="dxa" w:w="3360"/>
            <w:vAlign w:val="top"/>
          </w:tcPr>
          <w:p>
            <w:r/>
            <w:r>
              <w:rPr>
                <w:rFonts w:ascii="Aptos" w:hAnsi="Aptos" w:eastAsia="Aptos"/>
                <w:b w:val="0"/>
                <w:sz w:val="17"/>
              </w:rPr>
              <w:t>Sabemos con qué archivo trabajamos, qué mide Price y qué columnas importan.</w:t>
            </w:r>
          </w:p>
        </w:tc>
      </w:tr>
      <w:tr>
        <w:tc>
          <w:tcPr>
            <w:tcW w:type="dxa" w:w="3360"/>
            <w:vAlign w:val="top"/>
          </w:tcPr>
          <w:p>
            <w:r/>
            <w:r>
              <w:rPr>
                <w:rFonts w:ascii="Aptos" w:hAnsi="Aptos" w:eastAsia="Aptos"/>
                <w:b w:val="0"/>
                <w:sz w:val="17"/>
              </w:rPr>
              <w:t>5</w:t>
            </w:r>
          </w:p>
        </w:tc>
        <w:tc>
          <w:tcPr>
            <w:tcW w:type="dxa" w:w="3360"/>
            <w:vAlign w:val="top"/>
          </w:tcPr>
          <w:p>
            <w:r/>
            <w:r>
              <w:rPr>
                <w:rFonts w:ascii="Aptos" w:hAnsi="Aptos" w:eastAsia="Aptos"/>
                <w:b w:val="0"/>
                <w:sz w:val="17"/>
              </w:rPr>
              <w:t>Partición temporal</w:t>
            </w:r>
          </w:p>
        </w:tc>
        <w:tc>
          <w:tcPr>
            <w:tcW w:type="dxa" w:w="3360"/>
            <w:vAlign w:val="top"/>
          </w:tcPr>
          <w:p>
            <w:r/>
            <w:r>
              <w:rPr>
                <w:rFonts w:ascii="Aptos" w:hAnsi="Aptos" w:eastAsia="Aptos"/>
                <w:b w:val="0"/>
                <w:sz w:val="17"/>
              </w:rPr>
              <w:t>No se mezclan años con train_test_split aleatorio.</w:t>
            </w:r>
          </w:p>
        </w:tc>
      </w:tr>
      <w:tr>
        <w:tc>
          <w:tcPr>
            <w:tcW w:type="dxa" w:w="3360"/>
            <w:vAlign w:val="top"/>
          </w:tcPr>
          <w:p>
            <w:r/>
            <w:r>
              <w:rPr>
                <w:rFonts w:ascii="Aptos" w:hAnsi="Aptos" w:eastAsia="Aptos"/>
                <w:b w:val="0"/>
                <w:sz w:val="17"/>
              </w:rPr>
              <w:t>6</w:t>
            </w:r>
          </w:p>
        </w:tc>
        <w:tc>
          <w:tcPr>
            <w:tcW w:type="dxa" w:w="3360"/>
            <w:vAlign w:val="top"/>
          </w:tcPr>
          <w:p>
            <w:r/>
            <w:r>
              <w:rPr>
                <w:rFonts w:ascii="Aptos" w:hAnsi="Aptos" w:eastAsia="Aptos"/>
                <w:b w:val="0"/>
                <w:sz w:val="17"/>
              </w:rPr>
              <w:t>Línea base</w:t>
            </w:r>
          </w:p>
        </w:tc>
        <w:tc>
          <w:tcPr>
            <w:tcW w:type="dxa" w:w="3360"/>
            <w:vAlign w:val="top"/>
          </w:tcPr>
          <w:p>
            <w:r/>
            <w:r>
              <w:rPr>
                <w:rFonts w:ascii="Aptos" w:hAnsi="Aptos" w:eastAsia="Aptos"/>
                <w:b w:val="0"/>
                <w:sz w:val="17"/>
              </w:rPr>
              <w:t>Cualquier modelo debe bajar de 431.649 de MAE, salvo que se redefina el universo y se recalculen cifras.</w:t>
            </w:r>
          </w:p>
        </w:tc>
      </w:tr>
      <w:tr>
        <w:tc>
          <w:tcPr>
            <w:tcW w:type="dxa" w:w="3360"/>
            <w:vAlign w:val="top"/>
          </w:tcPr>
          <w:p>
            <w:r/>
            <w:r>
              <w:rPr>
                <w:rFonts w:ascii="Aptos" w:hAnsi="Aptos" w:eastAsia="Aptos"/>
                <w:b w:val="0"/>
                <w:sz w:val="17"/>
              </w:rPr>
              <w:t>7</w:t>
            </w:r>
          </w:p>
        </w:tc>
        <w:tc>
          <w:tcPr>
            <w:tcW w:type="dxa" w:w="3360"/>
            <w:vAlign w:val="top"/>
          </w:tcPr>
          <w:p>
            <w:r/>
            <w:r>
              <w:rPr>
                <w:rFonts w:ascii="Aptos" w:hAnsi="Aptos" w:eastAsia="Aptos"/>
                <w:b w:val="0"/>
                <w:sz w:val="17"/>
              </w:rPr>
              <w:t>Cambio de composición</w:t>
            </w:r>
          </w:p>
        </w:tc>
        <w:tc>
          <w:tcPr>
            <w:tcW w:type="dxa" w:w="3360"/>
            <w:vAlign w:val="top"/>
          </w:tcPr>
          <w:p>
            <w:r/>
            <w:r>
              <w:rPr>
                <w:rFonts w:ascii="Aptos" w:hAnsi="Aptos" w:eastAsia="Aptos"/>
                <w:b w:val="0"/>
                <w:sz w:val="17"/>
              </w:rPr>
              <w:t>El agregado 2016-2017 es insuficiente para entender el problema.</w:t>
            </w:r>
          </w:p>
        </w:tc>
      </w:tr>
      <w:tr>
        <w:tc>
          <w:tcPr>
            <w:tcW w:type="dxa" w:w="3360"/>
            <w:vAlign w:val="top"/>
          </w:tcPr>
          <w:p>
            <w:r/>
            <w:r>
              <w:rPr>
                <w:rFonts w:ascii="Aptos" w:hAnsi="Aptos" w:eastAsia="Aptos"/>
                <w:b w:val="0"/>
                <w:sz w:val="17"/>
              </w:rPr>
              <w:t>8</w:t>
            </w:r>
          </w:p>
        </w:tc>
        <w:tc>
          <w:tcPr>
            <w:tcW w:type="dxa" w:w="3360"/>
            <w:vAlign w:val="top"/>
          </w:tcPr>
          <w:p>
            <w:r/>
            <w:r>
              <w:rPr>
                <w:rFonts w:ascii="Aptos" w:hAnsi="Aptos" w:eastAsia="Aptos"/>
                <w:b w:val="0"/>
                <w:sz w:val="17"/>
              </w:rPr>
              <w:t>Cambio geográfico</w:t>
            </w:r>
          </w:p>
        </w:tc>
        <w:tc>
          <w:tcPr>
            <w:tcW w:type="dxa" w:w="3360"/>
            <w:vAlign w:val="top"/>
          </w:tcPr>
          <w:p>
            <w:r/>
            <w:r>
              <w:rPr>
                <w:rFonts w:ascii="Aptos" w:hAnsi="Aptos" w:eastAsia="Aptos"/>
                <w:b w:val="0"/>
                <w:sz w:val="17"/>
              </w:rPr>
              <w:t>29,1% de 2017 ocurre en suburbios ausentes de 2016.</w:t>
            </w:r>
          </w:p>
        </w:tc>
      </w:tr>
      <w:tr>
        <w:tc>
          <w:tcPr>
            <w:tcW w:type="dxa" w:w="3360"/>
            <w:vAlign w:val="top"/>
          </w:tcPr>
          <w:p>
            <w:r/>
            <w:r>
              <w:rPr>
                <w:rFonts w:ascii="Aptos" w:hAnsi="Aptos" w:eastAsia="Aptos"/>
                <w:b w:val="0"/>
                <w:sz w:val="17"/>
              </w:rPr>
              <w:t>9</w:t>
            </w:r>
          </w:p>
        </w:tc>
        <w:tc>
          <w:tcPr>
            <w:tcW w:type="dxa" w:w="3360"/>
            <w:vAlign w:val="top"/>
          </w:tcPr>
          <w:p>
            <w:r/>
            <w:r>
              <w:rPr>
                <w:rFonts w:ascii="Aptos" w:hAnsi="Aptos" w:eastAsia="Aptos"/>
                <w:b w:val="0"/>
                <w:sz w:val="17"/>
              </w:rPr>
              <w:t>Calidad de datos</w:t>
            </w:r>
          </w:p>
        </w:tc>
        <w:tc>
          <w:tcPr>
            <w:tcW w:type="dxa" w:w="3360"/>
            <w:vAlign w:val="top"/>
          </w:tcPr>
          <w:p>
            <w:r/>
            <w:r>
              <w:rPr>
                <w:rFonts w:ascii="Aptos" w:hAnsi="Aptos" w:eastAsia="Aptos"/>
                <w:b w:val="0"/>
                <w:sz w:val="17"/>
              </w:rPr>
              <w:t>Nulos y valores imposibles condicionan la metodología; no se limpian en silencio.</w:t>
            </w:r>
          </w:p>
        </w:tc>
      </w:tr>
      <w:tr>
        <w:tc>
          <w:tcPr>
            <w:tcW w:type="dxa" w:w="3360"/>
            <w:vAlign w:val="top"/>
          </w:tcPr>
          <w:p>
            <w:r/>
            <w:r>
              <w:rPr>
                <w:rFonts w:ascii="Aptos" w:hAnsi="Aptos" w:eastAsia="Aptos"/>
                <w:b w:val="0"/>
                <w:sz w:val="17"/>
              </w:rPr>
              <w:t>10</w:t>
            </w:r>
          </w:p>
        </w:tc>
        <w:tc>
          <w:tcPr>
            <w:tcW w:type="dxa" w:w="3360"/>
            <w:vAlign w:val="top"/>
          </w:tcPr>
          <w:p>
            <w:r/>
            <w:r>
              <w:rPr>
                <w:rFonts w:ascii="Aptos" w:hAnsi="Aptos" w:eastAsia="Aptos"/>
                <w:b w:val="0"/>
                <w:sz w:val="17"/>
              </w:rPr>
              <w:t>Fuga temporal</w:t>
            </w:r>
          </w:p>
        </w:tc>
        <w:tc>
          <w:tcPr>
            <w:tcW w:type="dxa" w:w="3360"/>
            <w:vAlign w:val="top"/>
          </w:tcPr>
          <w:p>
            <w:r/>
            <w:r>
              <w:rPr>
                <w:rFonts w:ascii="Aptos" w:hAnsi="Aptos" w:eastAsia="Aptos"/>
                <w:b w:val="0"/>
                <w:sz w:val="17"/>
              </w:rPr>
              <w:t>Existen reventas cruzando el corte; son pocas, pero deben declararse.</w:t>
            </w:r>
          </w:p>
        </w:tc>
      </w:tr>
      <w:tr>
        <w:tc>
          <w:tcPr>
            <w:tcW w:type="dxa" w:w="3360"/>
            <w:vAlign w:val="top"/>
          </w:tcPr>
          <w:p>
            <w:r/>
            <w:r>
              <w:rPr>
                <w:rFonts w:ascii="Aptos" w:hAnsi="Aptos" w:eastAsia="Aptos"/>
                <w:b w:val="0"/>
                <w:sz w:val="17"/>
              </w:rPr>
              <w:t>11</w:t>
            </w:r>
          </w:p>
        </w:tc>
        <w:tc>
          <w:tcPr>
            <w:tcW w:type="dxa" w:w="3360"/>
            <w:vAlign w:val="top"/>
          </w:tcPr>
          <w:p>
            <w:r/>
            <w:r>
              <w:rPr>
                <w:rFonts w:ascii="Aptos" w:hAnsi="Aptos" w:eastAsia="Aptos"/>
                <w:b w:val="0"/>
                <w:sz w:val="17"/>
              </w:rPr>
              <w:t>Cierre para Hito 2</w:t>
            </w:r>
          </w:p>
        </w:tc>
        <w:tc>
          <w:tcPr>
            <w:tcW w:type="dxa" w:w="3360"/>
            <w:vAlign w:val="top"/>
          </w:tcPr>
          <w:p>
            <w:r/>
            <w:r>
              <w:rPr>
                <w:rFonts w:ascii="Aptos" w:hAnsi="Aptos" w:eastAsia="Aptos"/>
                <w:b w:val="0"/>
                <w:sz w:val="17"/>
              </w:rPr>
              <w:t>El EDA define qué tendrá que demostrar el modelo y dónde podría fallar.</w:t>
            </w:r>
          </w:p>
        </w:tc>
      </w:tr>
    </w:tbl>
    <w:p>
      <w:pPr>
        <w:pStyle w:val="Heading1"/>
      </w:pPr>
      <w:r>
        <w:t>8. Plan para Hito 2: cómo probar la hipótesis</w:t>
      </w:r>
    </w:p>
    <w:p>
      <w:r>
        <w:t>El Hito 2 debe retomar exactamente esta hipótesis. Para no contaminar la evaluación, todas las decisiones de preparación deben aprenderse dentro de 2016 y aplicarse a 2017.</w:t>
      </w:r>
    </w:p>
    <w:tbl>
      <w:tblPr>
        <w:tblStyle w:val="TableGrid"/>
        <w:tblW w:type="auto" w:w="0"/>
        <w:jc w:val="center"/>
        <w:tblLook w:firstColumn="1" w:firstRow="1" w:lastColumn="0" w:lastRow="0" w:noHBand="0" w:noVBand="1" w:val="04A0"/>
      </w:tblPr>
      <w:tblGrid>
        <w:gridCol w:w="5040"/>
        <w:gridCol w:w="5040"/>
      </w:tblGrid>
      <w:tr>
        <w:tc>
          <w:tcPr>
            <w:tcW w:type="dxa" w:w="5040"/>
            <w:shd w:fill="0B1F3A"/>
            <w:vAlign w:val="top"/>
          </w:tcPr>
          <w:p>
            <w:r/>
            <w:r>
              <w:rPr>
                <w:rFonts w:ascii="Aptos" w:hAnsi="Aptos" w:eastAsia="Aptos"/>
                <w:b/>
                <w:color w:val="FFFFFF"/>
                <w:sz w:val="17"/>
              </w:rPr>
              <w:t>Paso</w:t>
            </w:r>
          </w:p>
        </w:tc>
        <w:tc>
          <w:tcPr>
            <w:tcW w:type="dxa" w:w="5040"/>
            <w:shd w:fill="0B1F3A"/>
            <w:vAlign w:val="top"/>
          </w:tcPr>
          <w:p>
            <w:r/>
            <w:r>
              <w:rPr>
                <w:rFonts w:ascii="Aptos" w:hAnsi="Aptos" w:eastAsia="Aptos"/>
                <w:b/>
                <w:color w:val="FFFFFF"/>
                <w:sz w:val="17"/>
              </w:rPr>
              <w:t>Regla</w:t>
            </w:r>
          </w:p>
        </w:tc>
      </w:tr>
      <w:tr>
        <w:tc>
          <w:tcPr>
            <w:tcW w:type="dxa" w:w="5040"/>
            <w:vAlign w:val="top"/>
          </w:tcPr>
          <w:p>
            <w:r/>
            <w:r>
              <w:rPr>
                <w:rFonts w:ascii="Aptos" w:hAnsi="Aptos" w:eastAsia="Aptos"/>
                <w:b w:val="0"/>
                <w:sz w:val="17"/>
              </w:rPr>
              <w:t>1. Congelar universo</w:t>
            </w:r>
          </w:p>
        </w:tc>
        <w:tc>
          <w:tcPr>
            <w:tcW w:type="dxa" w:w="5040"/>
            <w:vAlign w:val="top"/>
          </w:tcPr>
          <w:p>
            <w:r/>
            <w:r>
              <w:rPr>
                <w:rFonts w:ascii="Aptos" w:hAnsi="Aptos" w:eastAsia="Aptos"/>
                <w:b w:val="0"/>
                <w:sz w:val="17"/>
              </w:rPr>
              <w:t>Definir si se trabajará con todas las filas con Price o solo con ventas efectivas según Method. Si cambia el universo, recalcular todo.</w:t>
            </w:r>
          </w:p>
        </w:tc>
      </w:tr>
      <w:tr>
        <w:tc>
          <w:tcPr>
            <w:tcW w:type="dxa" w:w="5040"/>
            <w:vAlign w:val="top"/>
          </w:tcPr>
          <w:p>
            <w:r/>
            <w:r>
              <w:rPr>
                <w:rFonts w:ascii="Aptos" w:hAnsi="Aptos" w:eastAsia="Aptos"/>
                <w:b w:val="0"/>
                <w:sz w:val="17"/>
              </w:rPr>
              <w:t>2. Separar temporalmente</w:t>
            </w:r>
          </w:p>
        </w:tc>
        <w:tc>
          <w:tcPr>
            <w:tcW w:type="dxa" w:w="5040"/>
            <w:vAlign w:val="top"/>
          </w:tcPr>
          <w:p>
            <w:r/>
            <w:r>
              <w:rPr>
                <w:rFonts w:ascii="Aptos" w:hAnsi="Aptos" w:eastAsia="Aptos"/>
                <w:b w:val="0"/>
                <w:sz w:val="17"/>
              </w:rPr>
              <w:t>Entrenamiento = 2016; evaluación final = 2017. Usar validación interna dentro de 2016 para elegir hiperparámetros.</w:t>
            </w:r>
          </w:p>
        </w:tc>
      </w:tr>
      <w:tr>
        <w:tc>
          <w:tcPr>
            <w:tcW w:type="dxa" w:w="5040"/>
            <w:vAlign w:val="top"/>
          </w:tcPr>
          <w:p>
            <w:r/>
            <w:r>
              <w:rPr>
                <w:rFonts w:ascii="Aptos" w:hAnsi="Aptos" w:eastAsia="Aptos"/>
                <w:b w:val="0"/>
                <w:sz w:val="17"/>
              </w:rPr>
              <w:t>3. Baseline</w:t>
            </w:r>
          </w:p>
        </w:tc>
        <w:tc>
          <w:tcPr>
            <w:tcW w:type="dxa" w:w="5040"/>
            <w:vAlign w:val="top"/>
          </w:tcPr>
          <w:p>
            <w:r/>
            <w:r>
              <w:rPr>
                <w:rFonts w:ascii="Aptos" w:hAnsi="Aptos" w:eastAsia="Aptos"/>
                <w:b w:val="0"/>
                <w:sz w:val="17"/>
              </w:rPr>
              <w:t>Mediana global de 2016; luego modelos simples como mediana por Type para calibrar ganancia.</w:t>
            </w:r>
          </w:p>
        </w:tc>
      </w:tr>
      <w:tr>
        <w:tc>
          <w:tcPr>
            <w:tcW w:type="dxa" w:w="5040"/>
            <w:vAlign w:val="top"/>
          </w:tcPr>
          <w:p>
            <w:r/>
            <w:r>
              <w:rPr>
                <w:rFonts w:ascii="Aptos" w:hAnsi="Aptos" w:eastAsia="Aptos"/>
                <w:b w:val="0"/>
                <w:sz w:val="17"/>
              </w:rPr>
              <w:t>4. Codificación categórica</w:t>
            </w:r>
          </w:p>
        </w:tc>
        <w:tc>
          <w:tcPr>
            <w:tcW w:type="dxa" w:w="5040"/>
            <w:vAlign w:val="top"/>
          </w:tcPr>
          <w:p>
            <w:r/>
            <w:r>
              <w:rPr>
                <w:rFonts w:ascii="Aptos" w:hAnsi="Aptos" w:eastAsia="Aptos"/>
                <w:b w:val="0"/>
                <w:sz w:val="17"/>
              </w:rPr>
              <w:t>Evitar depender de Suburb como único ancla, porque 29,1% de 2017 queda fuera de cobertura. Evaluar Regionname, Distance y codificación de “nivel no visto”.</w:t>
            </w:r>
          </w:p>
        </w:tc>
      </w:tr>
      <w:tr>
        <w:tc>
          <w:tcPr>
            <w:tcW w:type="dxa" w:w="5040"/>
            <w:vAlign w:val="top"/>
          </w:tcPr>
          <w:p>
            <w:r/>
            <w:r>
              <w:rPr>
                <w:rFonts w:ascii="Aptos" w:hAnsi="Aptos" w:eastAsia="Aptos"/>
                <w:b w:val="0"/>
                <w:sz w:val="17"/>
              </w:rPr>
              <w:t>5. Ausencias</w:t>
            </w:r>
          </w:p>
        </w:tc>
        <w:tc>
          <w:tcPr>
            <w:tcW w:type="dxa" w:w="5040"/>
            <w:vAlign w:val="top"/>
          </w:tcPr>
          <w:p>
            <w:r/>
            <w:r>
              <w:rPr>
                <w:rFonts w:ascii="Aptos" w:hAnsi="Aptos" w:eastAsia="Aptos"/>
                <w:b w:val="0"/>
                <w:sz w:val="17"/>
              </w:rPr>
              <w:t>Crear indicadores de nulo y diseñar imputación aprendida en 2016. No usar información de 2017 para imputar.</w:t>
            </w:r>
          </w:p>
        </w:tc>
      </w:tr>
      <w:tr>
        <w:tc>
          <w:tcPr>
            <w:tcW w:type="dxa" w:w="5040"/>
            <w:vAlign w:val="top"/>
          </w:tcPr>
          <w:p>
            <w:r/>
            <w:r>
              <w:rPr>
                <w:rFonts w:ascii="Aptos" w:hAnsi="Aptos" w:eastAsia="Aptos"/>
                <w:b w:val="0"/>
                <w:sz w:val="17"/>
              </w:rPr>
              <w:t>6. Métricas</w:t>
            </w:r>
          </w:p>
        </w:tc>
        <w:tc>
          <w:tcPr>
            <w:tcW w:type="dxa" w:w="5040"/>
            <w:vAlign w:val="top"/>
          </w:tcPr>
          <w:p>
            <w:r/>
            <w:r>
              <w:rPr>
                <w:rFonts w:ascii="Aptos" w:hAnsi="Aptos" w:eastAsia="Aptos"/>
                <w:b w:val="0"/>
                <w:sz w:val="17"/>
              </w:rPr>
              <w:t>Reportar MAE global, MAE vistos, MAE no vistos, diferencia absoluta y razón de errores.</w:t>
            </w:r>
          </w:p>
        </w:tc>
      </w:tr>
      <w:tr>
        <w:tc>
          <w:tcPr>
            <w:tcW w:type="dxa" w:w="5040"/>
            <w:vAlign w:val="top"/>
          </w:tcPr>
          <w:p>
            <w:r/>
            <w:r>
              <w:rPr>
                <w:rFonts w:ascii="Aptos" w:hAnsi="Aptos" w:eastAsia="Aptos"/>
                <w:b w:val="0"/>
                <w:sz w:val="17"/>
              </w:rPr>
              <w:t>7. Control de fuga</w:t>
            </w:r>
          </w:p>
        </w:tc>
        <w:tc>
          <w:tcPr>
            <w:tcW w:type="dxa" w:w="5040"/>
            <w:vAlign w:val="top"/>
          </w:tcPr>
          <w:p>
            <w:r/>
            <w:r>
              <w:rPr>
                <w:rFonts w:ascii="Aptos" w:hAnsi="Aptos" w:eastAsia="Aptos"/>
                <w:b w:val="0"/>
                <w:sz w:val="17"/>
              </w:rPr>
              <w:t>Reportar qué ocurre con las 37 filas de 2017 que son reventas cruzando el corte temporal.</w:t>
            </w:r>
          </w:p>
        </w:tc>
      </w:tr>
    </w:tbl>
    <w:p>
      <w:pPr>
        <w:pStyle w:val="Heading1"/>
      </w:pPr>
      <w:r>
        <w:t>9. Preguntas difíciles y respuestas defendibles</w:t>
      </w:r>
    </w:p>
    <w:tbl>
      <w:tblPr>
        <w:tblStyle w:val="TableGrid"/>
        <w:tblW w:type="auto" w:w="0"/>
        <w:jc w:val="center"/>
        <w:tblLook w:firstColumn="1" w:firstRow="1" w:lastColumn="0" w:lastRow="0" w:noHBand="0" w:noVBand="1" w:val="04A0"/>
      </w:tblPr>
      <w:tblGrid>
        <w:gridCol w:w="5040"/>
        <w:gridCol w:w="5040"/>
      </w:tblGrid>
      <w:tr>
        <w:tc>
          <w:tcPr>
            <w:tcW w:type="dxa" w:w="5040"/>
            <w:shd w:fill="0B1F3A"/>
            <w:vAlign w:val="top"/>
          </w:tcPr>
          <w:p>
            <w:r/>
            <w:r>
              <w:rPr>
                <w:rFonts w:ascii="Aptos" w:hAnsi="Aptos" w:eastAsia="Aptos"/>
                <w:b/>
                <w:color w:val="FFFFFF"/>
                <w:sz w:val="17"/>
              </w:rPr>
              <w:t>Pregunta probable</w:t>
            </w:r>
          </w:p>
        </w:tc>
        <w:tc>
          <w:tcPr>
            <w:tcW w:type="dxa" w:w="5040"/>
            <w:shd w:fill="0B1F3A"/>
            <w:vAlign w:val="top"/>
          </w:tcPr>
          <w:p>
            <w:r/>
            <w:r>
              <w:rPr>
                <w:rFonts w:ascii="Aptos" w:hAnsi="Aptos" w:eastAsia="Aptos"/>
                <w:b/>
                <w:color w:val="FFFFFF"/>
                <w:sz w:val="17"/>
              </w:rPr>
              <w:t>Respuesta recomendada</w:t>
            </w:r>
          </w:p>
        </w:tc>
      </w:tr>
      <w:tr>
        <w:tc>
          <w:tcPr>
            <w:tcW w:type="dxa" w:w="5040"/>
            <w:vAlign w:val="top"/>
          </w:tcPr>
          <w:p>
            <w:r/>
            <w:r>
              <w:rPr>
                <w:rFonts w:ascii="Aptos" w:hAnsi="Aptos" w:eastAsia="Aptos"/>
                <w:b w:val="0"/>
                <w:sz w:val="17"/>
              </w:rPr>
              <w:t>¿Por qué no entrenaron un modelo en el Hito 1?</w:t>
            </w:r>
          </w:p>
        </w:tc>
        <w:tc>
          <w:tcPr>
            <w:tcW w:type="dxa" w:w="5040"/>
            <w:vAlign w:val="top"/>
          </w:tcPr>
          <w:p>
            <w:r/>
            <w:r>
              <w:rPr>
                <w:rFonts w:ascii="Aptos" w:hAnsi="Aptos" w:eastAsia="Aptos"/>
                <w:b w:val="0"/>
                <w:sz w:val="17"/>
              </w:rPr>
              <w:t>Porque el Hito 1 exige EDA que sustente una hipótesis. El modelo corresponde al Hito 2.</w:t>
            </w:r>
          </w:p>
        </w:tc>
      </w:tr>
      <w:tr>
        <w:tc>
          <w:tcPr>
            <w:tcW w:type="dxa" w:w="5040"/>
            <w:vAlign w:val="top"/>
          </w:tcPr>
          <w:p>
            <w:r/>
            <w:r>
              <w:rPr>
                <w:rFonts w:ascii="Aptos" w:hAnsi="Aptos" w:eastAsia="Aptos"/>
                <w:b w:val="0"/>
                <w:sz w:val="17"/>
              </w:rPr>
              <w:t>¿Por qué no hicieron train_test_split?</w:t>
            </w:r>
          </w:p>
        </w:tc>
        <w:tc>
          <w:tcPr>
            <w:tcW w:type="dxa" w:w="5040"/>
            <w:vAlign w:val="top"/>
          </w:tcPr>
          <w:p>
            <w:r/>
            <w:r>
              <w:rPr>
                <w:rFonts w:ascii="Aptos" w:hAnsi="Aptos" w:eastAsia="Aptos"/>
                <w:b w:val="0"/>
                <w:sz w:val="17"/>
              </w:rPr>
              <w:t>Porque el problema define una partición temporal: aprender con 2016 y evaluar 2017. Mezclar años invalidaría el ejercicio.</w:t>
            </w:r>
          </w:p>
        </w:tc>
      </w:tr>
      <w:tr>
        <w:tc>
          <w:tcPr>
            <w:tcW w:type="dxa" w:w="5040"/>
            <w:vAlign w:val="top"/>
          </w:tcPr>
          <w:p>
            <w:r/>
            <w:r>
              <w:rPr>
                <w:rFonts w:ascii="Aptos" w:hAnsi="Aptos" w:eastAsia="Aptos"/>
                <w:b w:val="0"/>
                <w:sz w:val="17"/>
              </w:rPr>
              <w:t>¿Por qué les importa la geografía si el objetivo es temporal?</w:t>
            </w:r>
          </w:p>
        </w:tc>
        <w:tc>
          <w:tcPr>
            <w:tcW w:type="dxa" w:w="5040"/>
            <w:vAlign w:val="top"/>
          </w:tcPr>
          <w:p>
            <w:r/>
            <w:r>
              <w:rPr>
                <w:rFonts w:ascii="Aptos" w:hAnsi="Aptos" w:eastAsia="Aptos"/>
                <w:b w:val="0"/>
                <w:sz w:val="17"/>
              </w:rPr>
              <w:t>Porque el EDA muestra que el salto temporal incluye un cambio de cobertura: 29,1% de 2017 está en suburbios ausentes de 2016.</w:t>
            </w:r>
          </w:p>
        </w:tc>
      </w:tr>
      <w:tr>
        <w:tc>
          <w:tcPr>
            <w:tcW w:type="dxa" w:w="5040"/>
            <w:vAlign w:val="top"/>
          </w:tcPr>
          <w:p>
            <w:r/>
            <w:r>
              <w:rPr>
                <w:rFonts w:ascii="Aptos" w:hAnsi="Aptos" w:eastAsia="Aptos"/>
                <w:b w:val="0"/>
                <w:sz w:val="17"/>
              </w:rPr>
              <w:t>¿Suburb es una buena variable?</w:t>
            </w:r>
          </w:p>
        </w:tc>
        <w:tc>
          <w:tcPr>
            <w:tcW w:type="dxa" w:w="5040"/>
            <w:vAlign w:val="top"/>
          </w:tcPr>
          <w:p>
            <w:r/>
            <w:r>
              <w:rPr>
                <w:rFonts w:ascii="Aptos" w:hAnsi="Aptos" w:eastAsia="Aptos"/>
                <w:b w:val="0"/>
                <w:sz w:val="17"/>
              </w:rPr>
              <w:t>Es informativa, pero riesgosa: casi un tercio de 2017 queda sin nivel observado. Por eso hay que comparar granularidades geográficas.</w:t>
            </w:r>
          </w:p>
        </w:tc>
      </w:tr>
      <w:tr>
        <w:tc>
          <w:tcPr>
            <w:tcW w:type="dxa" w:w="5040"/>
            <w:vAlign w:val="top"/>
          </w:tcPr>
          <w:p>
            <w:r/>
            <w:r>
              <w:rPr>
                <w:rFonts w:ascii="Aptos" w:hAnsi="Aptos" w:eastAsia="Aptos"/>
                <w:b w:val="0"/>
                <w:sz w:val="17"/>
              </w:rPr>
              <w:t>¿Eliminarán filas con nulos?</w:t>
            </w:r>
          </w:p>
        </w:tc>
        <w:tc>
          <w:tcPr>
            <w:tcW w:type="dxa" w:w="5040"/>
            <w:vAlign w:val="top"/>
          </w:tcPr>
          <w:p>
            <w:r/>
            <w:r>
              <w:rPr>
                <w:rFonts w:ascii="Aptos" w:hAnsi="Aptos" w:eastAsia="Aptos"/>
                <w:b w:val="0"/>
                <w:sz w:val="17"/>
              </w:rPr>
              <w:t>No sin medir el sesgo. CouncilArea tiene 0% de nulos en 2016 y 18,9% en 2017; eliminar filas completas recorta selectivamente la evaluación.</w:t>
            </w:r>
          </w:p>
        </w:tc>
      </w:tr>
      <w:tr>
        <w:tc>
          <w:tcPr>
            <w:tcW w:type="dxa" w:w="5040"/>
            <w:vAlign w:val="top"/>
          </w:tcPr>
          <w:p>
            <w:r/>
            <w:r>
              <w:rPr>
                <w:rFonts w:ascii="Aptos" w:hAnsi="Aptos" w:eastAsia="Aptos"/>
                <w:b w:val="0"/>
                <w:sz w:val="17"/>
              </w:rPr>
              <w:t>¿Qué probará que el modelo sirve?</w:t>
            </w:r>
          </w:p>
        </w:tc>
        <w:tc>
          <w:tcPr>
            <w:tcW w:type="dxa" w:w="5040"/>
            <w:vAlign w:val="top"/>
          </w:tcPr>
          <w:p>
            <w:r/>
            <w:r>
              <w:rPr>
                <w:rFonts w:ascii="Aptos" w:hAnsi="Aptos" w:eastAsia="Aptos"/>
                <w:b w:val="0"/>
                <w:sz w:val="17"/>
              </w:rPr>
              <w:t>Que supere la línea base fijada antes de modelar y que el resultado se mantenga bajo evaluación honesta sobre 2017.</w:t>
            </w:r>
          </w:p>
        </w:tc>
      </w:tr>
      <w:tr>
        <w:tc>
          <w:tcPr>
            <w:tcW w:type="dxa" w:w="5040"/>
            <w:vAlign w:val="top"/>
          </w:tcPr>
          <w:p>
            <w:r/>
            <w:r>
              <w:rPr>
                <w:rFonts w:ascii="Aptos" w:hAnsi="Aptos" w:eastAsia="Aptos"/>
                <w:b w:val="0"/>
                <w:sz w:val="17"/>
              </w:rPr>
              <w:t>¿Pueden explicar causalmente por qué cambió la geografía?</w:t>
            </w:r>
          </w:p>
        </w:tc>
        <w:tc>
          <w:tcPr>
            <w:tcW w:type="dxa" w:w="5040"/>
            <w:vAlign w:val="top"/>
          </w:tcPr>
          <w:p>
            <w:r/>
            <w:r>
              <w:rPr>
                <w:rFonts w:ascii="Aptos" w:hAnsi="Aptos" w:eastAsia="Aptos"/>
                <w:b w:val="0"/>
                <w:sz w:val="17"/>
              </w:rPr>
              <w:t>No. El dataset permite describir el cambio, no explicar su causa. No contiene oferta no vendida, tasas, calidad constructiva ni contexto macro.</w:t>
            </w:r>
          </w:p>
        </w:tc>
      </w:tr>
    </w:tbl>
    <w:p>
      <w:pPr>
        <w:pStyle w:val="Heading1"/>
      </w:pPr>
      <w:r>
        <w:t>10. Límites que conviene declarar</w:t>
      </w:r>
    </w:p>
    <w:p>
      <w:r>
        <w:t>Declarar límites no debilita la presentación; la vuelve más defendible. El análisis permite evaluar capacidad predictiva bajo una partición temporal, pero no permite explicar causalmente el mercado inmobiliario.</w:t>
      </w:r>
    </w:p>
    <w:p>
      <w:pPr>
        <w:pStyle w:val="ListBullet"/>
      </w:pPr>
      <w:r>
        <w:t>La ventana de 2017 termina el 23 de septiembre; no representa todo el año.</w:t>
      </w:r>
    </w:p>
    <w:p>
      <w:pPr>
        <w:pStyle w:val="ListBullet"/>
      </w:pPr>
      <w:r>
        <w:t>El archivo contiene transacciones/registros con Price, pero Method debe revisarse para definir ventas efectivas.</w:t>
      </w:r>
    </w:p>
    <w:p>
      <w:pPr>
        <w:pStyle w:val="ListBullet"/>
      </w:pPr>
      <w:r>
        <w:t>No hay atributos de calidad constructiva ni estado de la vivienda.</w:t>
      </w:r>
    </w:p>
    <w:p>
      <w:pPr>
        <w:pStyle w:val="ListBullet"/>
      </w:pPr>
      <w:r>
        <w:t>No hay información macroeconómica como tasas hipotecarias o condiciones de crédito.</w:t>
      </w:r>
    </w:p>
    <w:p>
      <w:pPr>
        <w:pStyle w:val="ListBullet"/>
      </w:pPr>
      <w:r>
        <w:t>No hay propiedades ofertadas y no vendidas de forma completa ni tiempo en mercado.</w:t>
      </w:r>
    </w:p>
    <w:p>
      <w:pPr>
        <w:pStyle w:val="ListBullet"/>
      </w:pPr>
      <w:r>
        <w:t>BuildingArea tiene alta ausencia, especialmente en 2017; no puede usarse sin política explícita.</w:t>
      </w:r>
    </w:p>
    <w:p>
      <w:pPr>
        <w:pStyle w:val="ListBullet"/>
      </w:pPr>
      <w:r>
        <w:t>El cambio geográfico puede reflejar expansión real, cambio de fuente de registro o ambos; el archivo no permite distinguirlo.</w:t>
      </w:r>
    </w:p>
    <w:p>
      <w:pPr>
        <w:pStyle w:val="Heading1"/>
      </w:pPr>
      <w:r>
        <w:t>11. Checklist final antes de presentar</w:t>
      </w:r>
    </w:p>
    <w:p>
      <w:pPr>
        <w:pStyle w:val="ListBullet"/>
      </w:pPr>
      <w:r>
        <w:t>La primera lámina declara el objetivo exacto del profesor.</w:t>
      </w:r>
    </w:p>
    <w:p>
      <w:pPr>
        <w:pStyle w:val="ListBullet"/>
      </w:pPr>
      <w:r>
        <w:t>La pregunta de investigación está escrita como pregunta, no como intención.</w:t>
      </w:r>
    </w:p>
    <w:p>
      <w:pPr>
        <w:pStyle w:val="ListBullet"/>
      </w:pPr>
      <w:r>
        <w:t>La hipótesis tiene criterio de refutación mediante MAE.</w:t>
      </w:r>
    </w:p>
    <w:p>
      <w:pPr>
        <w:pStyle w:val="ListBullet"/>
      </w:pPr>
      <w:r>
        <w:t>Se declara que entrenamiento = 2016 y evaluación = 2017.</w:t>
      </w:r>
    </w:p>
    <w:p>
      <w:pPr>
        <w:pStyle w:val="ListBullet"/>
      </w:pPr>
      <w:r>
        <w:t>Se explica por qué no corresponde mezclar años aleatoriamente.</w:t>
      </w:r>
    </w:p>
    <w:p>
      <w:pPr>
        <w:pStyle w:val="ListBullet"/>
      </w:pPr>
      <w:r>
        <w:t>Se define qué se entiende por venta o se declara que Method queda como decisión crítica para Hito 2.</w:t>
      </w:r>
    </w:p>
    <w:p>
      <w:pPr>
        <w:pStyle w:val="ListBullet"/>
      </w:pPr>
      <w:r>
        <w:t>Cada cifra mostrada está en anclaje.json o se elimina.</w:t>
      </w:r>
    </w:p>
    <w:p>
      <w:pPr>
        <w:pStyle w:val="ListBullet"/>
      </w:pPr>
      <w:r>
        <w:t>Se evita decir “causalidad” donde solo hay descripción.</w:t>
      </w:r>
    </w:p>
    <w:p>
      <w:pPr>
        <w:pStyle w:val="ListBullet"/>
      </w:pPr>
      <w:r>
        <w:t>Se reemplaza “Simpson” por “efecto de composición geográfica”, salvo prueba formal.</w:t>
      </w:r>
    </w:p>
    <w:p>
      <w:pPr>
        <w:pStyle w:val="ListBullet"/>
      </w:pPr>
      <w:r>
        <w:t>El grupo puede responder qué pasaría si el modelo falla más en suburbios nuevos.</w:t>
      </w:r>
    </w:p>
    <w:p>
      <w:pPr>
        <w:pStyle w:val="Heading1"/>
      </w:pPr>
      <w:r>
        <w:t>12. Cierre recomendado para la defensa</w:t>
      </w:r>
    </w:p>
    <w:tbl>
      <w:tblPr>
        <w:tblW w:type="auto" w:w="0"/>
        <w:jc w:val="center"/>
        <w:tblLayout w:type="autofit"/>
        <w:tblLook w:firstColumn="1" w:firstRow="1" w:lastColumn="0" w:lastRow="0" w:noHBand="0" w:noVBand="1" w:val="04A0"/>
      </w:tblPr>
      <w:tblGrid>
        <w:gridCol w:w="10080"/>
      </w:tblGrid>
      <w:tr>
        <w:tc>
          <w:tcPr>
            <w:tcW w:type="dxa" w:w="10080"/>
            <w:shd w:fill="EAF4FB"/>
          </w:tcPr>
          <w:p>
            <w:r>
              <w:rPr>
                <w:rFonts w:ascii="Aptos" w:hAnsi="Aptos"/>
                <w:b/>
                <w:color w:val="0B1F3A"/>
                <w:sz w:val="21"/>
              </w:rPr>
              <w:t>Cierre oral</w:t>
            </w:r>
          </w:p>
          <w:p>
            <w:pPr>
              <w:pStyle w:val="BoxText"/>
            </w:pPr>
            <w:r>
              <w:t>El Hito 1 no demuestra todavía que sabemos predecir 2017. Lo que sí demuestra es que entendemos el problema, que la partición temporal debe respetarse y que la evaluación no será trivial: 2017 contiene una composición geográfica distinta. Por eso nuestra hipótesis es concreta: un modelo entrenado con 2016 debe superar una línea base sobre 2017, y esperamos que su mayor dificultad aparezca en suburbios que no existían en el entrenamiento.</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Guía metodológica potenciada · Proyecto 3 · Fundamentos en Ciencia de Datos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Text"/>
    <w:rPr>
      <w:rFonts w:ascii="Aptos" w:hAnsi="Aptos"/>
      <w:color w:val="121A24"/>
      <w:sz w:val="20"/>
    </w:rPr>
  </w:style>
  <w:style w:type="paragraph" w:customStyle="1" w:styleId="SmallMuted">
    <w:name w:val="SmallMuted"/>
    <w:rPr>
      <w:rFonts w:ascii="Aptos" w:hAnsi="Aptos"/>
      <w:color w:val="52616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