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EBE71">
      <w:pPr>
        <w:jc w:val="center"/>
      </w:pPr>
      <w:r>
        <w:rPr>
          <w:b/>
          <w:sz w:val="36"/>
        </w:rPr>
        <w:t>《人工智能导论》课程项目 — 中期汇报</w:t>
      </w:r>
    </w:p>
    <w:p w14:paraId="736C886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21"/>
        <w:gridCol w:w="2441"/>
        <w:gridCol w:w="2218"/>
      </w:tblGrid>
      <w:tr w14:paraId="4DCEA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47B1135">
            <w:pPr>
              <w:spacing w:after="0" w:line="240" w:lineRule="auto"/>
            </w:pPr>
            <w:r>
              <w:rPr>
                <w:b/>
              </w:rPr>
              <w:t>项目编号</w:t>
            </w:r>
          </w:p>
        </w:tc>
        <w:tc>
          <w:tcPr>
            <w:tcW w:w="1821" w:type="dxa"/>
            <w:vAlign w:val="center"/>
          </w:tcPr>
          <w:p>
            <w:r/>
            <w:r>
              <w:rPr>
                <w:b w:val="0"/>
                <w:sz w:val="20"/>
              </w:rPr>
              <w:t>PJ-AG4</w:t>
            </w:r>
          </w:p>
        </w:tc>
        <w:tc>
          <w:tcPr>
            <w:tcW w:w="2441" w:type="dxa"/>
            <w:vAlign w:val="center"/>
          </w:tcPr>
          <w:p w14:paraId="5C83EB7A">
            <w:pPr>
              <w:spacing w:after="0" w:line="240" w:lineRule="auto"/>
            </w:pPr>
            <w:r>
              <w:rPr>
                <w:b/>
              </w:rPr>
              <w:t>项目题目</w:t>
            </w:r>
          </w:p>
        </w:tc>
        <w:tc>
          <w:tcPr>
            <w:tcW w:w="2218" w:type="dxa"/>
            <w:vAlign w:val="center"/>
          </w:tcPr>
          <w:p>
            <w:r/>
            <w:r>
              <w:rPr>
                <w:b w:val="0"/>
                <w:sz w:val="20"/>
              </w:rPr>
              <w:t>LLM 驱动的高端 GPU 算力现货市场多 Agent 博弈仿真</w:t>
            </w:r>
          </w:p>
        </w:tc>
      </w:tr>
      <w:tr w14:paraId="09F9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vAlign w:val="center"/>
          </w:tcPr>
          <w:p w14:paraId="1919C50B">
            <w:pPr>
              <w:spacing w:after="0" w:line="240" w:lineRule="auto"/>
            </w:pPr>
            <w:r>
              <w:rPr>
                <w:rFonts w:hint="eastAsia" w:eastAsia="宋体"/>
                <w:b/>
                <w:lang w:val="en-US" w:eastAsia="zh-CN"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w="1821" w:type="dxa"/>
            <w:vAlign w:val="center"/>
          </w:tcPr>
          <w:p>
            <w:r/>
            <w:r>
              <w:rPr>
                <w:b w:val="0"/>
                <w:sz w:val="20"/>
              </w:rPr>
              <w:t>AG4</w:t>
            </w:r>
          </w:p>
        </w:tc>
        <w:tc>
          <w:tcPr>
            <w:tcW w:w="2441" w:type="dxa"/>
            <w:vAlign w:val="center"/>
          </w:tcPr>
          <w:p w14:paraId="6B1F6CC1">
            <w:pPr>
              <w:spacing w:after="0" w:line="240" w:lineRule="auto"/>
            </w:pPr>
            <w:r>
              <w:rPr>
                <w:b/>
              </w:rPr>
              <w:t>组长</w:t>
            </w:r>
          </w:p>
        </w:tc>
        <w:tc>
          <w:tcPr>
            <w:tcW w:w="2218" w:type="dxa"/>
            <w:vAlign w:val="center"/>
          </w:tcPr>
          <w:p>
            <w:r/>
            <w:r>
              <w:rPr>
                <w:b w:val="0"/>
                <w:sz w:val="20"/>
              </w:rPr>
              <w:t>易俊融 24300180030</w:t>
            </w:r>
          </w:p>
        </w:tc>
      </w:tr>
      <w:tr w14:paraId="2B91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7AC049E">
            <w:pPr>
              <w:spacing w:after="0" w:line="240" w:lineRule="auto"/>
            </w:pPr>
            <w:r>
              <w:rPr>
                <w:b/>
              </w:rPr>
              <w:t>组员</w:t>
            </w:r>
          </w:p>
        </w:tc>
        <w:tc>
          <w:tcPr>
            <w:tcW w:w="1821" w:type="dxa"/>
            <w:vAlign w:val="center"/>
          </w:tcPr>
          <w:p>
            <w:r/>
            <w:r>
              <w:rPr>
                <w:b w:val="0"/>
                <w:sz w:val="20"/>
              </w:rPr>
              <w:t>暂无其他组员 / 待补充</w:t>
            </w:r>
          </w:p>
        </w:tc>
        <w:tc>
          <w:tcPr>
            <w:tcW w:w="2441" w:type="dxa"/>
            <w:vAlign w:val="center"/>
          </w:tcPr>
          <w:p w14:paraId="17EED32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当前代码</w:t>
            </w:r>
            <w:r>
              <w:rPr>
                <w:b/>
              </w:rPr>
              <w:t>仓库</w:t>
            </w:r>
            <w:r>
              <w:rPr>
                <w:rFonts w:hint="eastAsia" w:eastAsia="宋体"/>
                <w:b/>
                <w:lang w:eastAsia="zh-CN"/>
              </w:rPr>
              <w:t>（</w:t>
            </w:r>
            <w:r>
              <w:rPr>
                <w:rFonts w:hint="eastAsia" w:eastAsia="宋体"/>
                <w:b/>
                <w:lang w:val="en-US" w:eastAsia="zh-CN"/>
              </w:rPr>
              <w:t>如有</w:t>
            </w:r>
            <w:r>
              <w:rPr>
                <w:rFonts w:hint="eastAsia" w:eastAsia="宋体"/>
                <w:b/>
                <w:lang w:eastAsia="zh-CN"/>
              </w:rPr>
              <w:t>）</w:t>
            </w:r>
          </w:p>
        </w:tc>
        <w:tc>
          <w:tcPr>
            <w:tcW w:w="2218" w:type="dxa"/>
            <w:vAlign w:val="center"/>
          </w:tcPr>
          <w:p>
            <w:r/>
            <w:r>
              <w:rPr>
                <w:b w:val="0"/>
                <w:sz w:val="20"/>
              </w:rPr>
              <w:t>/Users/yijunrong/Desktop/PJ-AG4</w:t>
            </w:r>
          </w:p>
        </w:tc>
      </w:tr>
    </w:tbl>
    <w:p w14:paraId="43BD033D"/>
    <w:p w14:paraId="60813CB0">
      <w:r>
        <w:rPr>
          <w:b/>
          <w:color w:val="20375C"/>
          <w:sz w:val="28"/>
        </w:rPr>
        <w:t>1. 当前阶段摘要（1–2 段即可）</w:t>
      </w:r>
    </w:p>
    <w:p w14:paraId="231EAF0A">
      <w:r>
        <w:rPr>
          <w:b w:val="0"/>
        </w:rPr>
        <w:t>本阶段已经完成从项目设想到可运行系统的主体闭环：项目实现了高端 GPU 算力现货市场的动态需求生成、三类异质 Agent、价格与声誉驱动的需求分配、库存折旧、SLA 缺货惩罚、同行算力拆借、CSV/PDF/HTML 输出，以及量化实验工具。Agent 决策已拆分为 Forecaster、Pricer、Allocator、RiskGate 四阶段，并接入 OpenAI-compatible LLM 后端，支持模型输出异常时回退到启发式策略。</w:t>
      </w:r>
    </w:p>
    <w:p>
      <w:r>
        <w:rPr>
          <w:b w:val="0"/>
        </w:rPr>
        <w:t>目前已完成 LLM 20 轮主实验和同 seed 启发式对照。LLM 策略在 seed=7、20 轮设置下达到 0.9963 的市场履约率和 1010.34 的市场总利润，相比启发式基线的 763.91 总利润更高，但伴随更高缺货风险。下一阶段将扩展多 seed LLM 实验、补充消融实验，并进一步完善报告自动生成与 dashboard 交互。</w:t>
      </w:r>
    </w:p>
    <w:p w14:paraId="3E6C72DF">
      <w:r>
        <w:rPr>
          <w:b/>
          <w:color w:val="20375C"/>
          <w:sz w:val="28"/>
        </w:rPr>
        <w:t>2. 进度概览（勾选 + 简短说明）</w:t>
      </w:r>
    </w:p>
    <w:p w14:paraId="5B1E2760">
      <w:pPr>
        <w:rPr>
          <w:rFonts w:hint="default" w:eastAsia="宋体"/>
          <w:lang w:val="en-US" w:eastAsia="zh-CN"/>
        </w:rPr>
      </w:pPr>
      <w:r>
        <w:rPr>
          <w:i/>
          <w:color w:val="5A5A5A"/>
          <w:sz w:val="20"/>
        </w:rPr>
        <w:t xml:space="preserve">勾选“已完成/进行中/未开始”，并在备注写 </w:t>
      </w:r>
      <w:r>
        <w:rPr>
          <w:rFonts w:hint="eastAsia" w:eastAsia="宋体"/>
          <w:i/>
          <w:color w:val="5A5A5A"/>
          <w:sz w:val="20"/>
          <w:lang w:val="en-US" w:eastAsia="zh-CN"/>
        </w:rPr>
        <w:t>简单</w:t>
      </w:r>
      <w:r>
        <w:rPr>
          <w:i/>
          <w:color w:val="5A5A5A"/>
          <w:sz w:val="20"/>
        </w:rPr>
        <w:t>1 句话说明现状</w:t>
      </w:r>
      <w:r>
        <w:rPr>
          <w:rFonts w:hint="eastAsia" w:eastAsia="宋体"/>
          <w:i/>
          <w:color w:val="5A5A5A"/>
          <w:sz w:val="20"/>
          <w:lang w:eastAsia="zh-CN"/>
        </w:rPr>
        <w:t>，</w:t>
      </w:r>
      <w:r>
        <w:rPr>
          <w:rFonts w:hint="eastAsia" w:eastAsia="宋体"/>
          <w:i/>
          <w:color w:val="5A5A5A"/>
          <w:sz w:val="20"/>
          <w:lang w:val="en-US" w:eastAsia="zh-CN"/>
        </w:rPr>
        <w:t>若该条不适用也可以备注中说明。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08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C1CAF4">
            <w:pPr>
              <w:spacing w:after="0" w:line="240" w:lineRule="auto"/>
            </w:pPr>
            <w:r>
              <w:rPr>
                <w:b/>
              </w:rPr>
              <w:t>模块/子任务</w:t>
            </w:r>
          </w:p>
        </w:tc>
        <w:tc>
          <w:tcPr>
            <w:tcW w:w="2160" w:type="dxa"/>
          </w:tcPr>
          <w:p w14:paraId="746270AC">
            <w:pPr>
              <w:spacing w:after="0" w:line="240" w:lineRule="auto"/>
            </w:pPr>
            <w:r>
              <w:rPr>
                <w:b/>
              </w:rPr>
              <w:t>状态（勾选）</w:t>
            </w:r>
          </w:p>
        </w:tc>
        <w:tc>
          <w:tcPr>
            <w:tcW w:w="2160" w:type="dxa"/>
          </w:tcPr>
          <w:p w14:paraId="3E9FE385">
            <w:pPr>
              <w:spacing w:after="0" w:line="240" w:lineRule="auto"/>
            </w:pPr>
            <w:r>
              <w:rPr>
                <w:b/>
              </w:rPr>
              <w:t>证据/产出（文件名、截图、曲线等）</w:t>
            </w:r>
          </w:p>
        </w:tc>
        <w:tc>
          <w:tcPr>
            <w:tcW w:w="2160" w:type="dxa"/>
          </w:tcPr>
          <w:p w14:paraId="069F37BE">
            <w:pPr>
              <w:spacing w:after="0" w:line="240" w:lineRule="auto"/>
            </w:pPr>
            <w:r>
              <w:rPr>
                <w:b/>
              </w:rPr>
              <w:t>备注（遇到的问题/解决方式）</w:t>
            </w:r>
          </w:p>
        </w:tc>
      </w:tr>
      <w:tr w14:paraId="699E6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数据准备（下载/清洗/划分）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☑ 已完成   □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src/pj_ag4/timeseries.py；reports/midterm/llm_run_20/simulation_results.csv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本项目为仿真型任务，数据由可复现时间序列生成器产生，不依赖外部下载。</w:t>
            </w:r>
          </w:p>
        </w:tc>
      </w:tr>
      <w:tr w14:paraId="45EB4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基线模型实现与跑通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☑ 已完成   □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reports/midterm/heuristic_run_20/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三类启发式 Agent 已跑通，并作为 LLM 对照基线。</w:t>
            </w:r>
          </w:p>
        </w:tc>
      </w:tr>
      <w:tr w14:paraId="30BF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改进模型实现与跑通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☑ 已完成   □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reports/midterm/llm_run_20/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LLM Agent 已通过本地 OpenAI-compatible 端点完成 20 轮实验。</w:t>
            </w:r>
          </w:p>
        </w:tc>
      </w:tr>
      <w:tr w14:paraId="5C70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评估脚本（指标/交叉验证/可视化）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☑ 已完成   □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quant/metrics.py；quant/run_benchmarks.py；reports/midterm/latex/figures/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已能统计履约率、利润、声誉、缺货、dump/default 等指标并导出图表。</w:t>
            </w:r>
          </w:p>
        </w:tc>
      </w:tr>
      <w:tr w14:paraId="31E6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消融/对比实验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□ 已完成   ☑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reports/midterm/benchmark/；reports/midterm/sensitivity/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已完成 heuristic/rule-based 对照与声誉权重敏感性；LLM 多 seed 消融待扩展。</w:t>
            </w:r>
          </w:p>
        </w:tc>
      </w:tr>
      <w:tr w14:paraId="6E5C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可解释/可视化（如 SHAP/attention）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□ 已完成   ☑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strategy_dashboard.html；llm_profit_evolution.png；llm_agent_state_dynamics.png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已实现 dashboard 与状态曲线；后续补充每轮 LLM response/fallback 记录。</w:t>
            </w:r>
          </w:p>
        </w:tc>
      </w:tr>
      <w:tr w14:paraId="7B00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错误分析/失败案例整理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□ 已完成   ☑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progress.txt；LLM 与 heuristic 对照表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已观察到 LLM 提高总利润但略增缺货风险；后续按 seed 和冲击场景细分失败案例。</w:t>
            </w:r>
          </w:p>
        </w:tc>
      </w:tr>
      <w:tr w14:paraId="1582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文档与复现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☑ 已完成   □ 进行中   □ 未开始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reports/midterm/latex/paper.tex；PJ-AG4_midterm_report.pdf；README.md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中期 LaTeX 报告已编译通过，核心实验命令可复现。</w:t>
            </w:r>
          </w:p>
        </w:tc>
      </w:tr>
    </w:tbl>
    <w:p w14:paraId="5AE17DA3"/>
    <w:p w14:paraId="51EB2FEF">
      <w:r>
        <w:rPr>
          <w:b/>
          <w:color w:val="20375C"/>
          <w:sz w:val="28"/>
        </w:rPr>
        <w:t>3. 当前结果快照（只放最关键的 2–4 个数字/图）</w:t>
      </w:r>
    </w:p>
    <w:p w14:paraId="4014E0BA">
      <w:pPr>
        <w:rPr>
          <w:i/>
          <w:color w:val="5A5A5A"/>
          <w:sz w:val="20"/>
        </w:rPr>
      </w:pPr>
      <w:r>
        <w:rPr>
          <w:b w:val="0"/>
        </w:rPr>
      </w:r>
    </w:p>
    <w:p w14:paraId="10AC2550">
      <w:pPr>
        <w:rPr>
          <w:rFonts w:hint="eastAsia" w:eastAsia="宋体"/>
          <w:i/>
          <w:color w:val="5A5A5A"/>
          <w:sz w:val="20"/>
          <w:lang w:val="en-US" w:eastAsia="zh-CN"/>
        </w:rPr>
      </w:pPr>
    </w:p>
    <w:p w14:paraId="7FCFB70D">
      <w:pPr>
        <w:rPr>
          <w:rFonts w:hint="eastAsia" w:eastAsia="宋体"/>
          <w:i/>
          <w:color w:val="5A5A5A"/>
          <w:sz w:val="20"/>
          <w:lang w:val="en-US" w:eastAsia="zh-CN"/>
        </w:rPr>
      </w:pPr>
    </w:p>
    <w:p w14:paraId="5B725A39">
      <w:pPr>
        <w:rPr>
          <w:rFonts w:hint="default" w:eastAsia="宋体"/>
          <w:i/>
          <w:color w:val="5A5A5A"/>
          <w:sz w:val="20"/>
          <w:lang w:val="en-US" w:eastAsia="zh-CN"/>
        </w:rPr>
      </w:pPr>
      <w:bookmarkStart w:id="0" w:name="_GoBack"/>
      <w:bookmarkEnd w:id="0"/>
      <w:r>
        <w:rPr>
          <w:b w:val="0"/>
        </w:rPr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396"/>
        <w:gridCol w:w="2152"/>
        <w:gridCol w:w="2153"/>
      </w:tblGrid>
      <w:tr w14:paraId="1046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313AD7">
            <w:pPr>
              <w:spacing w:after="0" w:line="240" w:lineRule="auto"/>
            </w:pPr>
            <w:r>
              <w:rPr>
                <w:b/>
              </w:rPr>
              <w:t>模型/设置</w:t>
            </w:r>
          </w:p>
        </w:tc>
        <w:tc>
          <w:tcPr>
            <w:tcW w:w="2160" w:type="dxa"/>
          </w:tcPr>
          <w:p w14:paraId="1FC72D96">
            <w:pPr>
              <w:spacing w:after="0" w:line="240" w:lineRule="auto"/>
            </w:pPr>
            <w:r>
              <w:rPr>
                <w:b/>
              </w:rPr>
              <w:t>主要指标（如 Acc/Macro-F1/ROUGE/PPL/Success Rate）</w:t>
            </w:r>
          </w:p>
        </w:tc>
        <w:tc>
          <w:tcPr>
            <w:tcW w:w="2160" w:type="dxa"/>
          </w:tcPr>
          <w:p w14:paraId="569DD3FE">
            <w:pPr>
              <w:spacing w:after="0" w:line="240" w:lineRule="auto"/>
            </w:pPr>
            <w:r>
              <w:rPr>
                <w:b/>
              </w:rPr>
              <w:t>次要指标/效率（如时间/显存）</w:t>
            </w:r>
          </w:p>
        </w:tc>
        <w:tc>
          <w:tcPr>
            <w:tcW w:w="2160" w:type="dxa"/>
          </w:tcPr>
          <w:p w14:paraId="38EDD631">
            <w:pPr>
              <w:spacing w:after="0" w:line="240" w:lineRule="auto"/>
            </w:pPr>
            <w:r>
              <w:rPr>
                <w:b/>
              </w:rPr>
              <w:t>备注</w:t>
            </w:r>
          </w:p>
        </w:tc>
      </w:tr>
      <w:tr w14:paraId="05592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LLM 主实验</w:t>
            </w:r>
            <w:r>
              <w:br/>
            </w:r>
            <w:r>
              <w:rPr>
                <w:b w:val="0"/>
                <w:sz w:val="20"/>
              </w:rPr>
              <w:t>(seed=7, 20 rounds)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市场总利润 1010.34；履约率 0.9963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总缺货 14.07；平均声誉 0.7680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PremiumCloud 与 SpotBroker 为正收益；Hyperscaler 因低价竞争亏损。</w:t>
            </w:r>
          </w:p>
        </w:tc>
      </w:tr>
      <w:tr w14:paraId="533D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Heuristic 基线</w:t>
            </w:r>
            <w:r>
              <w:br/>
            </w:r>
            <w:r>
              <w:rPr>
                <w:b w:val="0"/>
                <w:sz w:val="20"/>
              </w:rPr>
              <w:t>(seed=7, 20 rounds)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市场总利润 763.91；履约率 0.9989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总缺货 3.95；平均声誉 0.7836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履约率略高，但市场总利润低于 LLM 设置。</w:t>
            </w:r>
          </w:p>
        </w:tc>
      </w:tr>
      <w:tr w14:paraId="1393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关键图表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llm_profit_evolution.png；llm_vs_heuristic.png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strategy_dashboard.html 可交互查看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图表位于 reports/midterm/latex/figures/ 与 reports/midterm/llm_run_20/。</w:t>
            </w:r>
          </w:p>
        </w:tc>
      </w:tr>
    </w:tbl>
    <w:p w14:paraId="3C3EE363"/>
    <w:p w14:paraId="2701B225">
      <w:pPr>
        <w:rPr>
          <w:rFonts w:hint="eastAsia" w:eastAsia="宋体"/>
          <w:lang w:eastAsia="zh-CN"/>
        </w:rPr>
      </w:pPr>
      <w:r>
        <w:rPr>
          <w:b/>
          <w:color w:val="20375C"/>
          <w:sz w:val="28"/>
        </w:rPr>
        <w:t>4. 风险/阻塞点</w:t>
      </w:r>
      <w:r>
        <w:rPr>
          <w:rFonts w:hint="eastAsia" w:eastAsia="宋体"/>
          <w:b/>
          <w:color w:val="20375C"/>
          <w:sz w:val="28"/>
          <w:lang w:eastAsia="zh-CN"/>
        </w:rPr>
        <w:t>（</w:t>
      </w:r>
      <w:r>
        <w:rPr>
          <w:rFonts w:hint="eastAsia" w:eastAsia="宋体"/>
          <w:b/>
          <w:color w:val="20375C"/>
          <w:sz w:val="28"/>
          <w:lang w:val="en-US" w:eastAsia="zh-CN"/>
        </w:rPr>
        <w:t>如有</w:t>
      </w:r>
      <w:r>
        <w:rPr>
          <w:rFonts w:hint="eastAsia" w:eastAsia="宋体"/>
          <w:b/>
          <w:color w:val="20375C"/>
          <w:sz w:val="28"/>
          <w:lang w:eastAsia="zh-CN"/>
        </w:rPr>
        <w:t>）</w:t>
      </w:r>
    </w:p>
    <w:p w14:paraId="650742EB">
      <w:pPr>
        <w:rPr>
          <w:i/>
          <w:color w:val="5A5A5A"/>
          <w:sz w:val="20"/>
        </w:rPr>
      </w:pPr>
      <w:r>
        <w:rPr>
          <w:b w:val="0"/>
        </w:rPr>
      </w:r>
    </w:p>
    <w:p w14:paraId="7180AC82">
      <w:pPr>
        <w:rPr>
          <w:rFonts w:hint="default" w:eastAsia="宋体"/>
          <w:i/>
          <w:color w:val="5A5A5A"/>
          <w:sz w:val="20"/>
          <w:lang w:val="en-US" w:eastAsia="zh-CN"/>
        </w:rPr>
      </w:pPr>
      <w:r>
        <w:rPr>
          <w:b w:val="0"/>
        </w:rPr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81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5CAE70">
            <w:pPr>
              <w:spacing w:after="0" w:line="240" w:lineRule="auto"/>
            </w:pPr>
            <w:r>
              <w:rPr>
                <w:b/>
              </w:rPr>
              <w:t>风险/阻塞点</w:t>
            </w:r>
          </w:p>
        </w:tc>
        <w:tc>
          <w:tcPr>
            <w:tcW w:w="2160" w:type="dxa"/>
          </w:tcPr>
          <w:p w14:paraId="5D59CDD1">
            <w:pPr>
              <w:spacing w:after="0" w:line="240" w:lineRule="auto"/>
            </w:pPr>
            <w:r>
              <w:rPr>
                <w:b/>
              </w:rPr>
              <w:t>影响（范围/程度）</w:t>
            </w:r>
          </w:p>
        </w:tc>
        <w:tc>
          <w:tcPr>
            <w:tcW w:w="2160" w:type="dxa"/>
          </w:tcPr>
          <w:p w14:paraId="5687D587">
            <w:pPr>
              <w:spacing w:after="0" w:line="240" w:lineRule="auto"/>
            </w:pPr>
            <w:r>
              <w:rPr>
                <w:b/>
              </w:rPr>
              <w:t>应对方案（本组）</w:t>
            </w:r>
          </w:p>
        </w:tc>
        <w:tc>
          <w:tcPr>
            <w:tcW w:w="2160" w:type="dxa"/>
          </w:tcPr>
          <w:p w14:paraId="1A464EFD">
            <w:pPr>
              <w:spacing w:after="0" w:line="240" w:lineRule="auto"/>
            </w:pPr>
            <w:r>
              <w:rPr>
                <w:b/>
              </w:rPr>
              <w:t>需要支持（可选）</w:t>
            </w:r>
          </w:p>
        </w:tc>
      </w:tr>
      <w:tr w14:paraId="22C0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LLM 长轮次实验耗时较高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影响多 seed、大规模网格实验效率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先固定 20 轮主实验；后续分批运行并缓存结果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如需统一评测，可确认可接受的轮数/seed 数</w:t>
            </w:r>
          </w:p>
        </w:tc>
      </w:tr>
      <w:tr w14:paraId="0111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LLM 结果稳健性尚未充分验证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单 seed 结论可能受需求路径影响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扩展 seed=7/11/23，并加入冲击场景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暂无</w:t>
            </w:r>
          </w:p>
        </w:tc>
      </w:tr>
      <w:tr w14:paraId="51DF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Agent 内部日志不够细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不利于解释每轮 LLM 决策原因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保存 prompt、raw response、fallback 标记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暂无</w:t>
            </w:r>
          </w:p>
        </w:tc>
      </w:tr>
      <w:tr w14:paraId="140C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消融实验仍不完整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难以单独归因声誉、拆借、折旧机制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逐项关闭机制并比较利润/履约/声誉</w:t>
            </w:r>
          </w:p>
        </w:tc>
        <w:tc>
          <w:tcPr>
            <w:tcW w:w="2160" w:type="dxa"/>
          </w:tcPr>
          <w:p>
            <w:r/>
            <w:r>
              <w:rPr>
                <w:b w:val="0"/>
                <w:sz w:val="20"/>
              </w:rPr>
              <w:t>希望确认最终报告是否必须包含消融</w:t>
            </w:r>
          </w:p>
        </w:tc>
      </w:tr>
    </w:tbl>
    <w:p w14:paraId="2815DF47"/>
    <w:p w14:paraId="03C51EDD">
      <w:r>
        <w:rPr>
          <w:b w:val="0"/>
        </w:rPr>
        <w:t>5. 下阶段计划（到期末提交前）</w:t>
      </w:r>
      <w:r>
        <w:br/>
      </w:r>
      <w:r>
        <w:rPr>
          <w:b w:val="0"/>
        </w:rPr>
        <w:t>1）扩展 LLM 多 seed 实验，至少覆盖 seed=7/11/23，并记录每次运行的市场总利润、履约率、缺货和声誉变化。</w:t>
      </w:r>
      <w:r>
        <w:br/>
      </w:r>
      <w:r>
        <w:rPr>
          <w:b w:val="0"/>
        </w:rPr>
        <w:t>2）补充 ablation：关闭或弱化声誉机制、同行拆借机制、库存折旧机制，分析各机制对市场稳定性的影响。</w:t>
      </w:r>
      <w:r>
        <w:br/>
      </w:r>
      <w:r>
        <w:rPr>
          <w:b w:val="0"/>
        </w:rPr>
        <w:t>3）完善 LLM 可解释记录：保存每轮 prompt、模型 JSON 输出、fallback 触发情况和动作约束前后差异。</w:t>
      </w:r>
      <w:r>
        <w:br/>
      </w:r>
      <w:r>
        <w:rPr>
          <w:b w:val="0"/>
        </w:rPr>
        <w:t>4）优化 dashboard 与报告生成流程，使最终报告中的表格、曲线和实验命令可以一键复现。</w:t>
      </w:r>
      <w:r>
        <w:br/>
      </w:r>
      <w:r>
        <w:rPr>
          <w:b w:val="0"/>
        </w:rPr>
        <w:t>5）整理最终论文版报告，重点讨论 LLM Agent 相比启发式策略在利润—履约权衡上的差异。</w:t>
      </w:r>
    </w:p>
    <w:p w14:paraId="0D481FDF"/>
    <w:p w14:paraId="20BC5C9D">
      <w:pPr>
        <w:rPr>
          <w:rFonts w:hint="eastAsia" w:eastAsia="宋体"/>
          <w:lang w:eastAsia="zh-CN"/>
        </w:rPr>
      </w:pPr>
      <w:r>
        <w:rPr>
          <w:b/>
          <w:color w:val="20375C"/>
          <w:sz w:val="28"/>
        </w:rPr>
        <w:t>6. 需要老师/助教确认的问题</w:t>
      </w:r>
      <w:r>
        <w:rPr>
          <w:rFonts w:hint="eastAsia" w:eastAsia="宋体"/>
          <w:b/>
          <w:color w:val="20375C"/>
          <w:sz w:val="28"/>
          <w:lang w:eastAsia="zh-CN"/>
        </w:rPr>
        <w:t>（</w:t>
      </w:r>
      <w:r>
        <w:rPr>
          <w:rFonts w:hint="eastAsia" w:eastAsia="宋体"/>
          <w:b/>
          <w:color w:val="20375C"/>
          <w:sz w:val="28"/>
          <w:lang w:val="en-US" w:eastAsia="zh-CN"/>
        </w:rPr>
        <w:t>如有</w:t>
      </w:r>
      <w:r>
        <w:rPr>
          <w:rFonts w:hint="eastAsia" w:eastAsia="宋体"/>
          <w:b/>
          <w:color w:val="20375C"/>
          <w:sz w:val="28"/>
          <w:lang w:eastAsia="zh-CN"/>
        </w:rPr>
        <w:t>）</w:t>
      </w:r>
    </w:p>
    <w:p w14:paraId="36462082">
      <w:r>
        <w:rPr>
          <w:i/>
          <w:color w:val="5A5A5A"/>
          <w:sz w:val="20"/>
        </w:rPr>
        <w:t>仅写会影响项目方向/评估方式的关键问题。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A6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D727D7">
            <w:pPr>
              <w:spacing w:after="0" w:line="240" w:lineRule="auto"/>
            </w:pPr>
            <w:r>
              <w:rPr>
                <w:b/>
              </w:rPr>
              <w:t>问题</w:t>
            </w:r>
          </w:p>
        </w:tc>
        <w:tc>
          <w:tcPr>
            <w:tcW w:w="4320" w:type="dxa"/>
          </w:tcPr>
          <w:p w14:paraId="02DFBE9A">
            <w:pPr>
              <w:spacing w:after="0" w:line="240" w:lineRule="auto"/>
            </w:pPr>
            <w:r>
              <w:rPr>
                <w:b/>
              </w:rPr>
              <w:t>背景/原因</w:t>
            </w:r>
          </w:p>
        </w:tc>
      </w:tr>
      <w:tr w14:paraId="2B0B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r/>
            <w:r>
              <w:rPr>
                <w:b w:val="0"/>
                <w:sz w:val="20"/>
              </w:rPr>
              <w:t>最终评估是否更看重 LLM 多 seed 稳健性，还是更看重机制消融与可解释分析？</w:t>
            </w:r>
          </w:p>
        </w:tc>
        <w:tc>
          <w:tcPr>
            <w:tcW w:w="4320" w:type="dxa"/>
          </w:tcPr>
          <w:p>
            <w:r/>
            <w:r>
              <w:rPr>
                <w:b w:val="0"/>
                <w:sz w:val="20"/>
              </w:rPr>
              <w:t>当前 LLM 长轮次实验可运行但耗时较高；若最终展示时间有限，需要在多 seed 规模和消融深度之间取舍。</w:t>
            </w:r>
          </w:p>
        </w:tc>
      </w:tr>
    </w:tbl>
    <w:p w14:paraId="28B9A1E4">
      <w:pPr>
        <w:jc w:val="both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82845"/>
    <w:rsid w:val="2C5B4652"/>
    <w:rsid w:val="32AE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leonard</cp:lastModifiedBy>
  <dcterms:modified xsi:type="dcterms:W3CDTF">2026-04-10T16:08:18Z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273A74FEFB2B487C81ACC4D908E3010F_12</vt:lpwstr>
  </property>
</Properties>
</file>