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849" w:rsidRDefault="00EC1B04" w:rsidP="00964849">
      <w:pPr>
        <w:jc w:val="center"/>
        <w:rPr>
          <w:b/>
          <w:sz w:val="32"/>
          <w:szCs w:val="32"/>
        </w:rPr>
      </w:pPr>
      <w:r>
        <w:rPr>
          <w:rFonts w:hint="eastAsia"/>
          <w:b/>
          <w:sz w:val="32"/>
          <w:szCs w:val="32"/>
        </w:rPr>
        <w:t>标题</w:t>
      </w:r>
    </w:p>
    <w:p w:rsidR="00964849" w:rsidRPr="00964849" w:rsidRDefault="00964849" w:rsidP="00964849">
      <w:pPr>
        <w:jc w:val="center"/>
        <w:rPr>
          <w:b/>
          <w:sz w:val="32"/>
          <w:szCs w:val="32"/>
        </w:rPr>
      </w:pPr>
    </w:p>
    <w:p w:rsidR="00F33C81" w:rsidRDefault="00817478" w:rsidP="00592791">
      <w:pPr>
        <w:pStyle w:val="a3"/>
        <w:numPr>
          <w:ilvl w:val="0"/>
          <w:numId w:val="1"/>
        </w:numPr>
        <w:ind w:firstLineChars="0"/>
        <w:rPr>
          <w:b/>
          <w:sz w:val="28"/>
        </w:rPr>
      </w:pPr>
      <w:r>
        <w:rPr>
          <w:rFonts w:hint="eastAsia"/>
          <w:b/>
          <w:sz w:val="28"/>
        </w:rPr>
        <w:t>总结及</w:t>
      </w:r>
      <w:r w:rsidR="00592791" w:rsidRPr="00964849">
        <w:rPr>
          <w:b/>
          <w:sz w:val="28"/>
        </w:rPr>
        <w:t>概要</w:t>
      </w:r>
    </w:p>
    <w:p w:rsidR="003F1AA6" w:rsidRDefault="008D108B" w:rsidP="003F1AA6">
      <w:pPr>
        <w:pStyle w:val="a3"/>
        <w:numPr>
          <w:ilvl w:val="0"/>
          <w:numId w:val="5"/>
        </w:numPr>
        <w:ind w:firstLineChars="0"/>
        <w:rPr>
          <w:b/>
          <w:sz w:val="24"/>
        </w:rPr>
      </w:pPr>
      <w:r>
        <w:rPr>
          <w:rFonts w:hint="eastAsia"/>
          <w:b/>
          <w:sz w:val="24"/>
        </w:rPr>
        <w:t>业务介绍</w:t>
      </w:r>
    </w:p>
    <w:p w:rsidR="008E59E8" w:rsidRPr="008E59E8" w:rsidRDefault="008E59E8" w:rsidP="008E59E8">
      <w:pPr>
        <w:rPr>
          <w:i/>
        </w:rPr>
      </w:pPr>
      <w:r w:rsidRPr="008E59E8">
        <w:rPr>
          <w:rFonts w:hint="eastAsia"/>
          <w:i/>
        </w:rPr>
        <w:t>(</w:t>
      </w:r>
      <w:r w:rsidRPr="008E59E8">
        <w:rPr>
          <w:rFonts w:hint="eastAsia"/>
          <w:i/>
        </w:rPr>
        <w:t>指南：此处简要形象地说明该上市公司的几项主要业务分别是做什么的，分类标准参考年报或东方财富通</w:t>
      </w:r>
      <w:r w:rsidRPr="008E59E8">
        <w:rPr>
          <w:rFonts w:hint="eastAsia"/>
          <w:i/>
        </w:rPr>
        <w:t>F9</w:t>
      </w:r>
      <w:r w:rsidRPr="008E59E8">
        <w:rPr>
          <w:rFonts w:hint="eastAsia"/>
          <w:i/>
        </w:rPr>
        <w:t>，主营产品项；可根据逻辑关系适当调整顺序或分类</w:t>
      </w:r>
      <w:r w:rsidR="00124039">
        <w:rPr>
          <w:rFonts w:hint="eastAsia"/>
          <w:i/>
        </w:rPr>
        <w:t>；</w:t>
      </w:r>
      <w:r w:rsidR="00124039">
        <w:rPr>
          <w:i/>
        </w:rPr>
        <w:t>并且点出最</w:t>
      </w:r>
      <w:r w:rsidRPr="008E59E8">
        <w:rPr>
          <w:rFonts w:hint="eastAsia"/>
          <w:i/>
        </w:rPr>
        <w:t>)</w:t>
      </w:r>
    </w:p>
    <w:p w:rsidR="003F1AA6" w:rsidRDefault="003F1AA6" w:rsidP="003F1AA6">
      <w:pPr>
        <w:pStyle w:val="a3"/>
        <w:numPr>
          <w:ilvl w:val="0"/>
          <w:numId w:val="6"/>
        </w:numPr>
        <w:ind w:firstLineChars="0"/>
      </w:pPr>
      <w:r>
        <w:rPr>
          <w:rFonts w:hint="eastAsia"/>
        </w:rPr>
        <w:t>产品（服务）一</w:t>
      </w:r>
    </w:p>
    <w:p w:rsidR="00CA1254" w:rsidRDefault="00CA1254" w:rsidP="00CA1254"/>
    <w:p w:rsidR="003F1AA6" w:rsidRDefault="003F1AA6" w:rsidP="003F1AA6">
      <w:pPr>
        <w:pStyle w:val="a3"/>
        <w:numPr>
          <w:ilvl w:val="0"/>
          <w:numId w:val="6"/>
        </w:numPr>
        <w:ind w:firstLineChars="0"/>
      </w:pPr>
      <w:r>
        <w:rPr>
          <w:rFonts w:hint="eastAsia"/>
        </w:rPr>
        <w:t>产品（服务）二</w:t>
      </w:r>
    </w:p>
    <w:p w:rsidR="00AD5433" w:rsidRDefault="00AD5433" w:rsidP="00AD5433"/>
    <w:p w:rsidR="003F1AA6" w:rsidRPr="003F1AA6" w:rsidRDefault="003F1AA6" w:rsidP="003F1AA6"/>
    <w:p w:rsidR="00AD5433" w:rsidRDefault="00AD5433" w:rsidP="003F1AA6">
      <w:pPr>
        <w:pStyle w:val="a3"/>
        <w:numPr>
          <w:ilvl w:val="0"/>
          <w:numId w:val="5"/>
        </w:numPr>
        <w:ind w:firstLineChars="0"/>
        <w:rPr>
          <w:b/>
          <w:sz w:val="24"/>
        </w:rPr>
      </w:pPr>
      <w:r>
        <w:rPr>
          <w:rFonts w:hint="eastAsia"/>
          <w:b/>
          <w:sz w:val="24"/>
        </w:rPr>
        <w:t>核心</w:t>
      </w:r>
      <w:r>
        <w:rPr>
          <w:b/>
          <w:sz w:val="24"/>
        </w:rPr>
        <w:t>逻辑及风险点</w:t>
      </w:r>
    </w:p>
    <w:p w:rsidR="00AD5433" w:rsidRDefault="00AD5433" w:rsidP="00AD5433">
      <w:pPr>
        <w:rPr>
          <w:i/>
        </w:rPr>
      </w:pPr>
      <w:r w:rsidRPr="00AD5433">
        <w:rPr>
          <w:rFonts w:hint="eastAsia"/>
          <w:i/>
        </w:rPr>
        <w:t>（指南：此部分为总结内容，需完成后续章节后填写。核心逻辑为简单归纳该上市公司特点，如是否是行业龙头股</w:t>
      </w:r>
      <w:r w:rsidR="00473DBB">
        <w:rPr>
          <w:rFonts w:hint="eastAsia"/>
          <w:i/>
        </w:rPr>
        <w:t>或</w:t>
      </w:r>
      <w:r w:rsidR="00473DBB" w:rsidRPr="00AD5433">
        <w:rPr>
          <w:rFonts w:hint="eastAsia"/>
          <w:i/>
        </w:rPr>
        <w:t>某点核心竞争力特别强</w:t>
      </w:r>
      <w:r w:rsidRPr="00AD5433">
        <w:rPr>
          <w:rFonts w:hint="eastAsia"/>
          <w:i/>
        </w:rPr>
        <w:t>；是否行业增长特别快或</w:t>
      </w:r>
      <w:r w:rsidR="00473DBB">
        <w:rPr>
          <w:rFonts w:hint="eastAsia"/>
          <w:i/>
        </w:rPr>
        <w:t>受</w:t>
      </w:r>
      <w:r w:rsidR="00473DBB">
        <w:rPr>
          <w:i/>
        </w:rPr>
        <w:t>周期</w:t>
      </w:r>
      <w:r w:rsidR="00473DBB">
        <w:rPr>
          <w:rFonts w:hint="eastAsia"/>
          <w:i/>
        </w:rPr>
        <w:t>性</w:t>
      </w:r>
      <w:r w:rsidR="00473DBB">
        <w:rPr>
          <w:i/>
        </w:rPr>
        <w:t>影响</w:t>
      </w:r>
      <w:r w:rsidRPr="00AD5433">
        <w:rPr>
          <w:rFonts w:hint="eastAsia"/>
          <w:i/>
        </w:rPr>
        <w:t>；</w:t>
      </w:r>
      <w:r w:rsidRPr="00AD5433">
        <w:rPr>
          <w:rFonts w:hint="eastAsia"/>
          <w:i/>
        </w:rPr>
        <w:t>1</w:t>
      </w:r>
      <w:r w:rsidRPr="00AD5433">
        <w:rPr>
          <w:rFonts w:hint="eastAsia"/>
          <w:i/>
        </w:rPr>
        <w:t>年内的短期增长逻辑和</w:t>
      </w:r>
      <w:r w:rsidRPr="00AD5433">
        <w:rPr>
          <w:rFonts w:hint="eastAsia"/>
          <w:i/>
        </w:rPr>
        <w:t>3-5</w:t>
      </w:r>
      <w:r w:rsidR="00531BFE">
        <w:rPr>
          <w:rFonts w:hint="eastAsia"/>
          <w:i/>
        </w:rPr>
        <w:t>年内的长期增长逻辑</w:t>
      </w:r>
      <w:r w:rsidRPr="00AD5433">
        <w:rPr>
          <w:rFonts w:hint="eastAsia"/>
          <w:i/>
        </w:rPr>
        <w:t>。风险点为该上市公司未来对股价影响较大的不确定处，包括上述核心逻辑的不确定处）</w:t>
      </w:r>
    </w:p>
    <w:p w:rsidR="00AD5433" w:rsidRDefault="00AD5433" w:rsidP="005A3DA2">
      <w:pPr>
        <w:pStyle w:val="a3"/>
        <w:numPr>
          <w:ilvl w:val="0"/>
          <w:numId w:val="17"/>
        </w:numPr>
        <w:ind w:firstLineChars="0"/>
      </w:pPr>
    </w:p>
    <w:p w:rsidR="00AD5433" w:rsidRDefault="00AD5433" w:rsidP="00AD5433"/>
    <w:p w:rsidR="00AD5433" w:rsidRDefault="00AD5433" w:rsidP="005A3DA2">
      <w:pPr>
        <w:pStyle w:val="a3"/>
        <w:numPr>
          <w:ilvl w:val="0"/>
          <w:numId w:val="17"/>
        </w:numPr>
        <w:ind w:firstLineChars="0"/>
      </w:pPr>
    </w:p>
    <w:p w:rsidR="00AD5433" w:rsidRPr="00AD5433" w:rsidRDefault="00AD5433" w:rsidP="00AD5433">
      <w:pPr>
        <w:rPr>
          <w:i/>
        </w:rPr>
      </w:pPr>
    </w:p>
    <w:p w:rsidR="003F1AA6" w:rsidRDefault="003F1AA6" w:rsidP="003F1AA6">
      <w:pPr>
        <w:pStyle w:val="a3"/>
        <w:numPr>
          <w:ilvl w:val="0"/>
          <w:numId w:val="5"/>
        </w:numPr>
        <w:ind w:firstLineChars="0"/>
        <w:rPr>
          <w:b/>
          <w:sz w:val="24"/>
        </w:rPr>
      </w:pPr>
      <w:r w:rsidRPr="003F1AA6">
        <w:rPr>
          <w:rFonts w:hint="eastAsia"/>
          <w:b/>
          <w:sz w:val="24"/>
        </w:rPr>
        <w:t>盈利预测</w:t>
      </w:r>
    </w:p>
    <w:p w:rsidR="00C064CB" w:rsidRPr="00013650" w:rsidRDefault="005A3DA2" w:rsidP="005A3DA2">
      <w:pPr>
        <w:rPr>
          <w:i/>
        </w:rPr>
      </w:pPr>
      <w:r w:rsidRPr="00013650">
        <w:rPr>
          <w:rFonts w:hint="eastAsia"/>
          <w:i/>
        </w:rPr>
        <w:t>（指南：此部分为总结内容，需完成后续章节后填写。分别完成各业务盈利预测后，汇总业绩总预测，特别需关注处用黄色背景高亮表示；若该表格分类无法准确地表明业绩变化的几个关键因子，可更改表格明细</w:t>
      </w:r>
      <w:r w:rsidR="00013650">
        <w:rPr>
          <w:rFonts w:hint="eastAsia"/>
          <w:i/>
        </w:rPr>
        <w:t>）</w:t>
      </w:r>
    </w:p>
    <w:tbl>
      <w:tblPr>
        <w:tblStyle w:val="a8"/>
        <w:tblW w:w="9004" w:type="dxa"/>
        <w:tblLook w:val="04A0" w:firstRow="1" w:lastRow="0" w:firstColumn="1" w:lastColumn="0" w:noHBand="0" w:noVBand="1"/>
      </w:tblPr>
      <w:tblGrid>
        <w:gridCol w:w="2096"/>
        <w:gridCol w:w="748"/>
        <w:gridCol w:w="984"/>
        <w:gridCol w:w="846"/>
        <w:gridCol w:w="846"/>
        <w:gridCol w:w="896"/>
        <w:gridCol w:w="846"/>
        <w:gridCol w:w="896"/>
        <w:gridCol w:w="846"/>
      </w:tblGrid>
      <w:tr w:rsidR="00C064CB" w:rsidTr="005B4C8B">
        <w:trPr>
          <w:trHeight w:val="158"/>
        </w:trPr>
        <w:tc>
          <w:tcPr>
            <w:tcW w:w="2096" w:type="dxa"/>
            <w:vMerge w:val="restart"/>
            <w:vAlign w:val="center"/>
          </w:tcPr>
          <w:p w:rsidR="00C064CB" w:rsidRDefault="00C064CB" w:rsidP="00C064CB"/>
        </w:tc>
        <w:tc>
          <w:tcPr>
            <w:tcW w:w="1732" w:type="dxa"/>
            <w:gridSpan w:val="2"/>
          </w:tcPr>
          <w:p w:rsidR="00C064CB" w:rsidRDefault="00C064CB" w:rsidP="005B4C8B">
            <w:pPr>
              <w:jc w:val="center"/>
            </w:pPr>
            <w:r>
              <w:rPr>
                <w:rFonts w:hint="eastAsia"/>
              </w:rPr>
              <w:t>2018</w:t>
            </w:r>
            <w:r>
              <w:t>E</w:t>
            </w:r>
            <w:r>
              <w:rPr>
                <w:rFonts w:hint="eastAsia"/>
              </w:rPr>
              <w:t>（亿）</w:t>
            </w:r>
          </w:p>
        </w:tc>
        <w:tc>
          <w:tcPr>
            <w:tcW w:w="1692" w:type="dxa"/>
            <w:gridSpan w:val="2"/>
          </w:tcPr>
          <w:p w:rsidR="00C064CB" w:rsidRDefault="00C064CB" w:rsidP="005B4C8B">
            <w:pPr>
              <w:jc w:val="center"/>
            </w:pPr>
            <w:r>
              <w:rPr>
                <w:rFonts w:hint="eastAsia"/>
              </w:rPr>
              <w:t>2017</w:t>
            </w:r>
            <w:r>
              <w:t>E</w:t>
            </w:r>
            <w:r>
              <w:rPr>
                <w:rFonts w:hint="eastAsia"/>
              </w:rPr>
              <w:t>（亿）</w:t>
            </w:r>
          </w:p>
        </w:tc>
        <w:tc>
          <w:tcPr>
            <w:tcW w:w="1742" w:type="dxa"/>
            <w:gridSpan w:val="2"/>
          </w:tcPr>
          <w:p w:rsidR="00C064CB" w:rsidRDefault="00C064CB" w:rsidP="005B4C8B">
            <w:pPr>
              <w:jc w:val="center"/>
            </w:pPr>
            <w:r>
              <w:rPr>
                <w:rFonts w:hint="eastAsia"/>
              </w:rPr>
              <w:t>2016</w:t>
            </w:r>
            <w:r>
              <w:rPr>
                <w:rFonts w:hint="eastAsia"/>
              </w:rPr>
              <w:t>（亿）</w:t>
            </w:r>
          </w:p>
        </w:tc>
        <w:tc>
          <w:tcPr>
            <w:tcW w:w="1742" w:type="dxa"/>
            <w:gridSpan w:val="2"/>
          </w:tcPr>
          <w:p w:rsidR="00C064CB" w:rsidRDefault="00C064CB" w:rsidP="005B4C8B">
            <w:pPr>
              <w:jc w:val="center"/>
            </w:pPr>
            <w:r>
              <w:rPr>
                <w:rFonts w:hint="eastAsia"/>
              </w:rPr>
              <w:t>2015</w:t>
            </w:r>
            <w:r>
              <w:rPr>
                <w:rFonts w:hint="eastAsia"/>
              </w:rPr>
              <w:t>（亿）</w:t>
            </w:r>
          </w:p>
        </w:tc>
      </w:tr>
      <w:tr w:rsidR="00C064CB" w:rsidTr="005B4C8B">
        <w:trPr>
          <w:trHeight w:val="157"/>
        </w:trPr>
        <w:tc>
          <w:tcPr>
            <w:tcW w:w="2096" w:type="dxa"/>
            <w:vMerge/>
          </w:tcPr>
          <w:p w:rsidR="00C064CB" w:rsidRDefault="00C064CB" w:rsidP="005B4C8B"/>
        </w:tc>
        <w:tc>
          <w:tcPr>
            <w:tcW w:w="748" w:type="dxa"/>
          </w:tcPr>
          <w:p w:rsidR="00C064CB" w:rsidRDefault="00C064CB" w:rsidP="005B4C8B">
            <w:pPr>
              <w:jc w:val="center"/>
            </w:pPr>
            <w:r>
              <w:rPr>
                <w:rFonts w:hint="eastAsia"/>
              </w:rPr>
              <w:t>营收</w:t>
            </w:r>
          </w:p>
        </w:tc>
        <w:tc>
          <w:tcPr>
            <w:tcW w:w="984" w:type="dxa"/>
          </w:tcPr>
          <w:p w:rsidR="00C064CB" w:rsidRDefault="00C064CB" w:rsidP="005B4C8B">
            <w:pPr>
              <w:jc w:val="center"/>
            </w:pPr>
            <w:r>
              <w:rPr>
                <w:rFonts w:hint="eastAsia"/>
              </w:rPr>
              <w:t>利润</w:t>
            </w:r>
          </w:p>
        </w:tc>
        <w:tc>
          <w:tcPr>
            <w:tcW w:w="84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c>
          <w:tcPr>
            <w:tcW w:w="89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c>
          <w:tcPr>
            <w:tcW w:w="896" w:type="dxa"/>
          </w:tcPr>
          <w:p w:rsidR="00C064CB" w:rsidRDefault="00C064CB" w:rsidP="005B4C8B">
            <w:pPr>
              <w:jc w:val="center"/>
            </w:pPr>
            <w:r>
              <w:rPr>
                <w:rFonts w:hint="eastAsia"/>
              </w:rPr>
              <w:t>营收</w:t>
            </w:r>
          </w:p>
        </w:tc>
        <w:tc>
          <w:tcPr>
            <w:tcW w:w="846" w:type="dxa"/>
          </w:tcPr>
          <w:p w:rsidR="00C064CB" w:rsidRDefault="00C064CB" w:rsidP="005B4C8B">
            <w:pPr>
              <w:jc w:val="center"/>
            </w:pPr>
            <w:r>
              <w:rPr>
                <w:rFonts w:hint="eastAsia"/>
              </w:rPr>
              <w:t>利润</w:t>
            </w:r>
          </w:p>
        </w:tc>
      </w:tr>
      <w:tr w:rsidR="00C064CB" w:rsidTr="005B4C8B">
        <w:tc>
          <w:tcPr>
            <w:tcW w:w="2096" w:type="dxa"/>
          </w:tcPr>
          <w:p w:rsidR="00C064CB" w:rsidRDefault="00C064CB" w:rsidP="005B4C8B">
            <w:r>
              <w:rPr>
                <w:rFonts w:hint="eastAsia"/>
              </w:rPr>
              <w:t>产品（服务）一</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r>
              <w:rPr>
                <w:rFonts w:hint="eastAsia"/>
              </w:rPr>
              <w:t>产品（服务）二</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C064CB" w:rsidP="005B4C8B"/>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8610B4" w:rsidP="005B4C8B">
            <w:r>
              <w:rPr>
                <w:rFonts w:hint="eastAsia"/>
              </w:rPr>
              <w:t>影响</w:t>
            </w:r>
            <w:r>
              <w:t>因子一</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8610B4" w:rsidP="005B4C8B">
            <w:r>
              <w:rPr>
                <w:rFonts w:hint="eastAsia"/>
              </w:rPr>
              <w:t>影响</w:t>
            </w:r>
            <w:r>
              <w:t>因子二</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r w:rsidR="00C064CB" w:rsidTr="005B4C8B">
        <w:tc>
          <w:tcPr>
            <w:tcW w:w="2096" w:type="dxa"/>
          </w:tcPr>
          <w:p w:rsidR="00C064CB" w:rsidRDefault="004C2650" w:rsidP="005B4C8B">
            <w:r>
              <w:t>合计</w:t>
            </w:r>
          </w:p>
        </w:tc>
        <w:tc>
          <w:tcPr>
            <w:tcW w:w="748" w:type="dxa"/>
          </w:tcPr>
          <w:p w:rsidR="00C064CB" w:rsidRDefault="00C064CB" w:rsidP="005B4C8B"/>
        </w:tc>
        <w:tc>
          <w:tcPr>
            <w:tcW w:w="984" w:type="dxa"/>
          </w:tcPr>
          <w:p w:rsidR="00C064CB" w:rsidRDefault="00C064CB" w:rsidP="005B4C8B"/>
        </w:tc>
        <w:tc>
          <w:tcPr>
            <w:tcW w:w="84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c>
          <w:tcPr>
            <w:tcW w:w="896" w:type="dxa"/>
          </w:tcPr>
          <w:p w:rsidR="00C064CB" w:rsidRDefault="00C064CB" w:rsidP="005B4C8B"/>
        </w:tc>
        <w:tc>
          <w:tcPr>
            <w:tcW w:w="846" w:type="dxa"/>
          </w:tcPr>
          <w:p w:rsidR="00C064CB" w:rsidRDefault="00C064CB" w:rsidP="005B4C8B"/>
        </w:tc>
      </w:tr>
    </w:tbl>
    <w:p w:rsidR="003E62D0" w:rsidRDefault="003E62D0" w:rsidP="00B502D9">
      <w:pPr>
        <w:rPr>
          <w:rFonts w:hint="eastAsia"/>
        </w:rPr>
      </w:pPr>
    </w:p>
    <w:p w:rsidR="003E62D0" w:rsidRDefault="003E62D0" w:rsidP="00B502D9"/>
    <w:p w:rsidR="00592791" w:rsidRPr="00964849" w:rsidRDefault="00592791" w:rsidP="00592791">
      <w:pPr>
        <w:pStyle w:val="a3"/>
        <w:numPr>
          <w:ilvl w:val="0"/>
          <w:numId w:val="1"/>
        </w:numPr>
        <w:ind w:firstLineChars="0"/>
        <w:rPr>
          <w:b/>
          <w:sz w:val="28"/>
        </w:rPr>
      </w:pPr>
      <w:r w:rsidRPr="00964849">
        <w:rPr>
          <w:b/>
          <w:sz w:val="28"/>
        </w:rPr>
        <w:t>业务</w:t>
      </w:r>
      <w:r w:rsidR="003F1AA6">
        <w:rPr>
          <w:rFonts w:hint="eastAsia"/>
          <w:b/>
          <w:sz w:val="28"/>
        </w:rPr>
        <w:t>情况</w:t>
      </w:r>
    </w:p>
    <w:p w:rsidR="00592791" w:rsidRPr="00964849" w:rsidRDefault="003F1AA6" w:rsidP="00592791">
      <w:pPr>
        <w:pStyle w:val="a3"/>
        <w:numPr>
          <w:ilvl w:val="0"/>
          <w:numId w:val="2"/>
        </w:numPr>
        <w:ind w:firstLineChars="0"/>
        <w:rPr>
          <w:b/>
          <w:sz w:val="24"/>
        </w:rPr>
      </w:pPr>
      <w:r>
        <w:rPr>
          <w:rFonts w:hint="eastAsia"/>
          <w:b/>
          <w:sz w:val="24"/>
        </w:rPr>
        <w:t>供需情况</w:t>
      </w:r>
      <w:r w:rsidR="00124039">
        <w:rPr>
          <w:rFonts w:hint="eastAsia"/>
          <w:b/>
          <w:sz w:val="24"/>
        </w:rPr>
        <w:t>（下游</w:t>
      </w:r>
      <w:r w:rsidR="00124039">
        <w:rPr>
          <w:b/>
          <w:sz w:val="24"/>
        </w:rPr>
        <w:t>需求</w:t>
      </w:r>
      <w:r w:rsidR="00531BFE">
        <w:rPr>
          <w:rFonts w:hint="eastAsia"/>
          <w:b/>
          <w:sz w:val="24"/>
        </w:rPr>
        <w:t>；</w:t>
      </w:r>
      <w:r w:rsidR="00531BFE">
        <w:rPr>
          <w:b/>
          <w:sz w:val="24"/>
        </w:rPr>
        <w:t>公司及行业产能</w:t>
      </w:r>
      <w:r w:rsidR="00124039">
        <w:rPr>
          <w:rFonts w:hint="eastAsia"/>
          <w:b/>
          <w:sz w:val="24"/>
        </w:rPr>
        <w:t>）</w:t>
      </w:r>
    </w:p>
    <w:p w:rsidR="005A478F" w:rsidRPr="00013650" w:rsidRDefault="00013650" w:rsidP="005A478F">
      <w:pPr>
        <w:rPr>
          <w:i/>
        </w:rPr>
      </w:pPr>
      <w:r w:rsidRPr="00013650">
        <w:rPr>
          <w:i/>
        </w:rPr>
        <w:t>（指南：此处重点研究产业链情况；供需重点在于</w:t>
      </w:r>
      <w:r w:rsidRPr="00013650">
        <w:rPr>
          <w:i/>
        </w:rPr>
        <w:t>“</w:t>
      </w:r>
      <w:r w:rsidRPr="00013650">
        <w:rPr>
          <w:i/>
        </w:rPr>
        <w:t>需</w:t>
      </w:r>
      <w:r w:rsidRPr="00013650">
        <w:rPr>
          <w:i/>
        </w:rPr>
        <w:t>”</w:t>
      </w:r>
      <w:r w:rsidR="0012747F">
        <w:rPr>
          <w:i/>
        </w:rPr>
        <w:t>，即分析需求。分析需求时从广义下游开始</w:t>
      </w:r>
      <w:r w:rsidR="0012747F">
        <w:rPr>
          <w:rFonts w:hint="eastAsia"/>
          <w:i/>
        </w:rPr>
        <w:t>分析</w:t>
      </w:r>
      <w:r w:rsidRPr="00013650">
        <w:rPr>
          <w:i/>
        </w:rPr>
        <w:t>到狭义的下游，</w:t>
      </w:r>
      <w:r w:rsidR="0012747F">
        <w:rPr>
          <w:rFonts w:hint="eastAsia"/>
          <w:i/>
        </w:rPr>
        <w:t>先</w:t>
      </w:r>
      <w:r w:rsidRPr="00013650">
        <w:rPr>
          <w:i/>
        </w:rPr>
        <w:t>主要分析行业下游需求增长情况，同时需参考上市公司前五大客户情况，如前五大客户集中，或前五大客户所在的行业集中，需分析该五大客户未来增长</w:t>
      </w:r>
      <w:r w:rsidRPr="00013650">
        <w:rPr>
          <w:i/>
        </w:rPr>
        <w:lastRenderedPageBreak/>
        <w:t>情况；若该公司的商业模式存在重要创新，需分析该模式的复制可能性及空间；若该上市公司产品供不应求，业绩受限于产能，需同时分析</w:t>
      </w:r>
      <w:r w:rsidRPr="00013650">
        <w:rPr>
          <w:i/>
        </w:rPr>
        <w:t>“</w:t>
      </w:r>
      <w:r w:rsidRPr="00013650">
        <w:rPr>
          <w:i/>
        </w:rPr>
        <w:t>供</w:t>
      </w:r>
      <w:r w:rsidRPr="00013650">
        <w:rPr>
          <w:i/>
        </w:rPr>
        <w:t>”</w:t>
      </w:r>
      <w:r w:rsidRPr="00013650">
        <w:rPr>
          <w:i/>
        </w:rPr>
        <w:t>，即该上市公司未来产能增长情况，在建及拟建产能；若竞争对手同时在大幅扩张产能，需详细列出；此处需同时简要指出上游供给及需求的变化对该上市公司的影响，若上游的供给或调价对该上市公司有重要影响，则需重点说明）</w:t>
      </w:r>
    </w:p>
    <w:p w:rsidR="00C307A4" w:rsidRDefault="00C307A4" w:rsidP="005A478F"/>
    <w:p w:rsidR="00013650" w:rsidRDefault="00013650" w:rsidP="005A478F"/>
    <w:p w:rsidR="00013650" w:rsidRPr="00981DEF" w:rsidRDefault="00013650" w:rsidP="005A478F"/>
    <w:p w:rsidR="00592791" w:rsidRDefault="003F1AA6" w:rsidP="00592791">
      <w:pPr>
        <w:pStyle w:val="a3"/>
        <w:numPr>
          <w:ilvl w:val="0"/>
          <w:numId w:val="2"/>
        </w:numPr>
        <w:ind w:firstLineChars="0"/>
        <w:rPr>
          <w:b/>
          <w:sz w:val="24"/>
        </w:rPr>
      </w:pPr>
      <w:r>
        <w:rPr>
          <w:rFonts w:hint="eastAsia"/>
          <w:b/>
          <w:sz w:val="24"/>
        </w:rPr>
        <w:t>竞争情况</w:t>
      </w:r>
    </w:p>
    <w:p w:rsidR="003E62D0" w:rsidRPr="00013650" w:rsidRDefault="00013650" w:rsidP="003E62D0">
      <w:pPr>
        <w:rPr>
          <w:i/>
        </w:rPr>
      </w:pPr>
      <w:r w:rsidRPr="00013650">
        <w:rPr>
          <w:i/>
        </w:rPr>
        <w:t>（指南：此处重点研究竞争情况；需指出该上市公司的核心竞争力，即核心竞争力来自技术优势、规模优势还是</w:t>
      </w:r>
      <w:r w:rsidR="006D1D3D">
        <w:rPr>
          <w:rFonts w:hint="eastAsia"/>
          <w:i/>
        </w:rPr>
        <w:t>客户</w:t>
      </w:r>
      <w:r w:rsidRPr="00013650">
        <w:rPr>
          <w:i/>
        </w:rPr>
        <w:t>优势等；指出竞争格局，即该行业是少数几家企业占据大部分市场份额还是分散程度较高的情况，主要竞争对手和要追赶的竞争对手有哪些，是否存在行业集中度大幅提升的可能；某些公司除了分析直接竞争对手，还要分析间接竞争对手，如产品存在替代情况的竞争对手）</w:t>
      </w:r>
    </w:p>
    <w:p w:rsidR="003E62D0" w:rsidRDefault="003E62D0" w:rsidP="003E62D0">
      <w:pPr>
        <w:rPr>
          <w:b/>
          <w:sz w:val="24"/>
        </w:rPr>
      </w:pPr>
    </w:p>
    <w:p w:rsidR="009B64F8" w:rsidRDefault="009B64F8" w:rsidP="003E62D0">
      <w:pPr>
        <w:rPr>
          <w:b/>
          <w:sz w:val="24"/>
        </w:rPr>
      </w:pPr>
    </w:p>
    <w:p w:rsidR="009B64F8" w:rsidRPr="003E62D0" w:rsidRDefault="009B64F8" w:rsidP="003E62D0">
      <w:pPr>
        <w:rPr>
          <w:b/>
          <w:sz w:val="24"/>
        </w:rPr>
      </w:pPr>
    </w:p>
    <w:p w:rsidR="00592791" w:rsidRDefault="00592791" w:rsidP="00592791">
      <w:pPr>
        <w:pStyle w:val="a3"/>
        <w:numPr>
          <w:ilvl w:val="0"/>
          <w:numId w:val="1"/>
        </w:numPr>
        <w:ind w:firstLineChars="0"/>
        <w:rPr>
          <w:b/>
          <w:sz w:val="28"/>
        </w:rPr>
      </w:pPr>
      <w:r w:rsidRPr="00964849">
        <w:rPr>
          <w:rFonts w:hint="eastAsia"/>
          <w:b/>
          <w:sz w:val="28"/>
        </w:rPr>
        <w:t>同行业</w:t>
      </w:r>
      <w:r w:rsidRPr="00964849">
        <w:rPr>
          <w:rFonts w:hint="eastAsia"/>
          <w:b/>
          <w:sz w:val="28"/>
        </w:rPr>
        <w:t>A</w:t>
      </w:r>
      <w:r w:rsidRPr="00964849">
        <w:rPr>
          <w:rFonts w:hint="eastAsia"/>
          <w:b/>
          <w:sz w:val="28"/>
        </w:rPr>
        <w:t>股</w:t>
      </w:r>
      <w:r w:rsidRPr="00964849">
        <w:rPr>
          <w:b/>
          <w:sz w:val="28"/>
        </w:rPr>
        <w:t>上市公司对比</w:t>
      </w:r>
    </w:p>
    <w:p w:rsidR="000F55CA" w:rsidRDefault="003E293B" w:rsidP="00964849">
      <w:pPr>
        <w:rPr>
          <w:i/>
        </w:rPr>
      </w:pPr>
      <w:r w:rsidRPr="003E293B">
        <w:rPr>
          <w:i/>
        </w:rPr>
        <w:t>（指南：在上述章节指出的竞争对手中，若存在</w:t>
      </w:r>
      <w:r w:rsidRPr="003E293B">
        <w:rPr>
          <w:i/>
        </w:rPr>
        <w:t>A</w:t>
      </w:r>
      <w:r w:rsidRPr="003E293B">
        <w:rPr>
          <w:i/>
        </w:rPr>
        <w:t>股上市公司，需列明几个核心业务指标进行对比</w:t>
      </w:r>
      <w:r w:rsidR="00F057BF">
        <w:rPr>
          <w:rFonts w:hint="eastAsia"/>
          <w:i/>
        </w:rPr>
        <w:t>。</w:t>
      </w:r>
      <w:r w:rsidR="00F057BF">
        <w:rPr>
          <w:i/>
        </w:rPr>
        <w:t>根据</w:t>
      </w:r>
      <w:r w:rsidR="00F057BF">
        <w:rPr>
          <w:rFonts w:hint="eastAsia"/>
          <w:i/>
        </w:rPr>
        <w:t>每个</w:t>
      </w:r>
      <w:r w:rsidR="00F057BF">
        <w:rPr>
          <w:i/>
        </w:rPr>
        <w:t>公司</w:t>
      </w:r>
      <w:r w:rsidR="00995160">
        <w:rPr>
          <w:rFonts w:hint="eastAsia"/>
          <w:i/>
        </w:rPr>
        <w:t>的</w:t>
      </w:r>
      <w:r w:rsidR="00995160">
        <w:rPr>
          <w:i/>
        </w:rPr>
        <w:t>不同情况，亮点挑</w:t>
      </w:r>
      <w:r w:rsidR="00E0507F">
        <w:rPr>
          <w:rFonts w:hint="eastAsia"/>
          <w:i/>
        </w:rPr>
        <w:t>重要</w:t>
      </w:r>
      <w:r w:rsidR="00E0507F">
        <w:rPr>
          <w:i/>
        </w:rPr>
        <w:t>的竞争力优势或者客户优势或者其他优势重点说明</w:t>
      </w:r>
      <w:r w:rsidR="00A47683">
        <w:rPr>
          <w:rFonts w:hint="eastAsia"/>
          <w:i/>
        </w:rPr>
        <w:t>，</w:t>
      </w:r>
      <w:r w:rsidR="008F36C1">
        <w:rPr>
          <w:rFonts w:hint="eastAsia"/>
          <w:i/>
        </w:rPr>
        <w:t>必要时</w:t>
      </w:r>
      <w:r w:rsidR="008F36C1">
        <w:rPr>
          <w:i/>
        </w:rPr>
        <w:t>也可</w:t>
      </w:r>
      <w:r w:rsidR="008F36C1">
        <w:rPr>
          <w:rFonts w:hint="eastAsia"/>
          <w:i/>
        </w:rPr>
        <w:t>另外</w:t>
      </w:r>
      <w:r w:rsidR="008F36C1">
        <w:rPr>
          <w:i/>
        </w:rPr>
        <w:t>单独造表说明</w:t>
      </w:r>
      <w:r w:rsidRPr="003E293B">
        <w:rPr>
          <w:i/>
        </w:rPr>
        <w:t>）</w:t>
      </w:r>
    </w:p>
    <w:p w:rsidR="00C21236" w:rsidRDefault="00C21236" w:rsidP="00964849"/>
    <w:tbl>
      <w:tblPr>
        <w:tblStyle w:val="a8"/>
        <w:tblW w:w="8202" w:type="dxa"/>
        <w:tblLook w:val="04A0" w:firstRow="1" w:lastRow="0" w:firstColumn="1" w:lastColumn="0" w:noHBand="0" w:noVBand="1"/>
      </w:tblPr>
      <w:tblGrid>
        <w:gridCol w:w="1030"/>
        <w:gridCol w:w="3360"/>
        <w:gridCol w:w="1134"/>
        <w:gridCol w:w="850"/>
        <w:gridCol w:w="709"/>
        <w:gridCol w:w="1119"/>
      </w:tblGrid>
      <w:tr w:rsidR="00E0507F" w:rsidTr="00E0507F">
        <w:tc>
          <w:tcPr>
            <w:tcW w:w="1030" w:type="dxa"/>
          </w:tcPr>
          <w:p w:rsidR="00E0507F" w:rsidRDefault="00E0507F" w:rsidP="00EC24B6">
            <w:r>
              <w:rPr>
                <w:rFonts w:hint="eastAsia"/>
              </w:rPr>
              <w:t>公司</w:t>
            </w:r>
          </w:p>
        </w:tc>
        <w:tc>
          <w:tcPr>
            <w:tcW w:w="3360" w:type="dxa"/>
          </w:tcPr>
          <w:p w:rsidR="00E0507F" w:rsidRDefault="00E0507F" w:rsidP="00EC24B6">
            <w:r>
              <w:rPr>
                <w:rFonts w:hint="eastAsia"/>
              </w:rPr>
              <w:t>亮点</w:t>
            </w:r>
          </w:p>
        </w:tc>
        <w:tc>
          <w:tcPr>
            <w:tcW w:w="1134" w:type="dxa"/>
          </w:tcPr>
          <w:p w:rsidR="00E0507F" w:rsidRDefault="00E0507F" w:rsidP="00EC24B6">
            <w:r>
              <w:rPr>
                <w:rFonts w:hint="eastAsia"/>
              </w:rPr>
              <w:t>营收（亿）</w:t>
            </w:r>
          </w:p>
        </w:tc>
        <w:tc>
          <w:tcPr>
            <w:tcW w:w="850" w:type="dxa"/>
          </w:tcPr>
          <w:p w:rsidR="00E0507F" w:rsidRDefault="00E0507F" w:rsidP="00EC24B6">
            <w:r>
              <w:rPr>
                <w:rFonts w:hint="eastAsia"/>
              </w:rPr>
              <w:t>毛利率</w:t>
            </w:r>
          </w:p>
        </w:tc>
        <w:tc>
          <w:tcPr>
            <w:tcW w:w="709" w:type="dxa"/>
          </w:tcPr>
          <w:p w:rsidR="00E0507F" w:rsidRDefault="00E0507F" w:rsidP="00EC24B6">
            <w:r>
              <w:rPr>
                <w:rFonts w:hint="eastAsia"/>
              </w:rPr>
              <w:t>ROE</w:t>
            </w:r>
          </w:p>
        </w:tc>
        <w:tc>
          <w:tcPr>
            <w:tcW w:w="1119" w:type="dxa"/>
          </w:tcPr>
          <w:p w:rsidR="00E0507F" w:rsidRDefault="00E0507F" w:rsidP="00EC24B6">
            <w:r>
              <w:rPr>
                <w:rFonts w:hint="eastAsia"/>
              </w:rPr>
              <w:t>市值（亿）</w:t>
            </w:r>
          </w:p>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r w:rsidR="00E0507F" w:rsidTr="00E0507F">
        <w:tc>
          <w:tcPr>
            <w:tcW w:w="1030" w:type="dxa"/>
          </w:tcPr>
          <w:p w:rsidR="00E0507F" w:rsidRDefault="00E0507F" w:rsidP="00EC24B6"/>
        </w:tc>
        <w:tc>
          <w:tcPr>
            <w:tcW w:w="3360" w:type="dxa"/>
          </w:tcPr>
          <w:p w:rsidR="00E0507F" w:rsidRDefault="00E0507F" w:rsidP="00EC24B6"/>
        </w:tc>
        <w:tc>
          <w:tcPr>
            <w:tcW w:w="1134" w:type="dxa"/>
          </w:tcPr>
          <w:p w:rsidR="00E0507F" w:rsidRDefault="00E0507F" w:rsidP="00EC24B6"/>
        </w:tc>
        <w:tc>
          <w:tcPr>
            <w:tcW w:w="850" w:type="dxa"/>
          </w:tcPr>
          <w:p w:rsidR="00E0507F" w:rsidRDefault="00E0507F" w:rsidP="00EC24B6"/>
        </w:tc>
        <w:tc>
          <w:tcPr>
            <w:tcW w:w="709" w:type="dxa"/>
          </w:tcPr>
          <w:p w:rsidR="00E0507F" w:rsidRDefault="00E0507F" w:rsidP="00EC24B6"/>
        </w:tc>
        <w:tc>
          <w:tcPr>
            <w:tcW w:w="1119" w:type="dxa"/>
          </w:tcPr>
          <w:p w:rsidR="00E0507F" w:rsidRDefault="00E0507F" w:rsidP="00EC24B6"/>
        </w:tc>
      </w:tr>
    </w:tbl>
    <w:p w:rsidR="00147799" w:rsidRDefault="00147799" w:rsidP="00964849"/>
    <w:p w:rsidR="003F1AA6" w:rsidRPr="00964849" w:rsidRDefault="003F1AA6" w:rsidP="00964849"/>
    <w:p w:rsidR="00CA1254" w:rsidRPr="003F1AA6" w:rsidRDefault="00CA1254" w:rsidP="00964849"/>
    <w:p w:rsidR="00964849" w:rsidRDefault="006D1D3D" w:rsidP="00592791">
      <w:pPr>
        <w:pStyle w:val="a3"/>
        <w:numPr>
          <w:ilvl w:val="0"/>
          <w:numId w:val="1"/>
        </w:numPr>
        <w:ind w:firstLineChars="0"/>
        <w:rPr>
          <w:b/>
          <w:sz w:val="28"/>
        </w:rPr>
      </w:pPr>
      <w:r>
        <w:rPr>
          <w:rFonts w:hint="eastAsia"/>
          <w:b/>
          <w:sz w:val="28"/>
        </w:rPr>
        <w:t>量价及</w:t>
      </w:r>
      <w:r>
        <w:rPr>
          <w:b/>
          <w:sz w:val="28"/>
        </w:rPr>
        <w:t>利润率</w:t>
      </w:r>
      <w:r w:rsidR="00964849" w:rsidRPr="00964849">
        <w:rPr>
          <w:b/>
          <w:sz w:val="28"/>
        </w:rPr>
        <w:t>预测</w:t>
      </w:r>
      <w:bookmarkStart w:id="0" w:name="_GoBack"/>
      <w:bookmarkEnd w:id="0"/>
    </w:p>
    <w:p w:rsidR="00302AB6" w:rsidRPr="00302AB6" w:rsidRDefault="00302AB6" w:rsidP="00302AB6">
      <w:pPr>
        <w:rPr>
          <w:i/>
        </w:rPr>
      </w:pPr>
      <w:r w:rsidRPr="00302AB6">
        <w:rPr>
          <w:i/>
        </w:rPr>
        <w:t>（指南：</w:t>
      </w:r>
      <w:r w:rsidR="00DD1CB7">
        <w:rPr>
          <w:rFonts w:hint="eastAsia"/>
          <w:i/>
        </w:rPr>
        <w:t>根据</w:t>
      </w:r>
      <w:r w:rsidR="00DD1CB7">
        <w:rPr>
          <w:i/>
        </w:rPr>
        <w:t>公司及行业的变化，预测公司产品或业务的量价以及利润率变化</w:t>
      </w:r>
      <w:r w:rsidRPr="00302AB6">
        <w:rPr>
          <w:i/>
        </w:rPr>
        <w:t>）</w:t>
      </w:r>
    </w:p>
    <w:p w:rsidR="00147799" w:rsidRPr="00302AB6" w:rsidRDefault="00147799" w:rsidP="00964849"/>
    <w:p w:rsidR="00B502D9" w:rsidRDefault="00B502D9" w:rsidP="00964849"/>
    <w:p w:rsidR="00CA1254" w:rsidRPr="00964849" w:rsidRDefault="00CA1254" w:rsidP="00964849"/>
    <w:p w:rsidR="003F1AA6" w:rsidRPr="00CA1254" w:rsidRDefault="00DD1CB7" w:rsidP="003F1AA6">
      <w:pPr>
        <w:pStyle w:val="a3"/>
        <w:numPr>
          <w:ilvl w:val="0"/>
          <w:numId w:val="1"/>
        </w:numPr>
        <w:ind w:firstLineChars="0"/>
        <w:rPr>
          <w:b/>
          <w:sz w:val="28"/>
        </w:rPr>
      </w:pPr>
      <w:r>
        <w:rPr>
          <w:rFonts w:hint="eastAsia"/>
          <w:b/>
          <w:sz w:val="28"/>
        </w:rPr>
        <w:t>资本</w:t>
      </w:r>
      <w:r w:rsidR="00D66605">
        <w:rPr>
          <w:rFonts w:hint="eastAsia"/>
          <w:b/>
          <w:sz w:val="28"/>
        </w:rPr>
        <w:t>因素</w:t>
      </w:r>
      <w:r w:rsidR="00002D9B">
        <w:rPr>
          <w:rFonts w:hint="eastAsia"/>
          <w:b/>
          <w:sz w:val="28"/>
        </w:rPr>
        <w:t>及筹码</w:t>
      </w:r>
      <w:r w:rsidR="00002D9B">
        <w:rPr>
          <w:b/>
          <w:sz w:val="28"/>
        </w:rPr>
        <w:t>结构</w:t>
      </w:r>
    </w:p>
    <w:p w:rsidR="00CA1254" w:rsidRDefault="00CA1254" w:rsidP="00CA1254">
      <w:pPr>
        <w:pStyle w:val="a3"/>
        <w:numPr>
          <w:ilvl w:val="0"/>
          <w:numId w:val="9"/>
        </w:numPr>
        <w:ind w:firstLineChars="0"/>
        <w:rPr>
          <w:b/>
          <w:sz w:val="24"/>
        </w:rPr>
      </w:pPr>
      <w:r w:rsidRPr="00CA1254">
        <w:rPr>
          <w:rFonts w:hint="eastAsia"/>
          <w:b/>
          <w:sz w:val="24"/>
        </w:rPr>
        <w:t>定向增发</w:t>
      </w:r>
      <w:r w:rsidR="000F55CA">
        <w:rPr>
          <w:rFonts w:hint="eastAsia"/>
          <w:b/>
          <w:sz w:val="24"/>
        </w:rPr>
        <w:t>（</w:t>
      </w:r>
      <w:r w:rsidR="005C17F8">
        <w:rPr>
          <w:rFonts w:hint="eastAsia"/>
          <w:b/>
          <w:sz w:val="24"/>
        </w:rPr>
        <w:t>重大</w:t>
      </w:r>
      <w:r w:rsidR="005C17F8">
        <w:rPr>
          <w:b/>
          <w:sz w:val="24"/>
        </w:rPr>
        <w:t>资产重组、</w:t>
      </w:r>
      <w:r w:rsidR="00DD1CB7">
        <w:rPr>
          <w:rFonts w:hint="eastAsia"/>
          <w:b/>
          <w:sz w:val="24"/>
        </w:rPr>
        <w:t>可转债</w:t>
      </w:r>
      <w:r w:rsidR="00DD1CB7">
        <w:rPr>
          <w:b/>
          <w:sz w:val="24"/>
        </w:rPr>
        <w:t>、</w:t>
      </w:r>
      <w:r w:rsidR="000F55CA">
        <w:rPr>
          <w:rFonts w:hint="eastAsia"/>
          <w:b/>
          <w:sz w:val="24"/>
        </w:rPr>
        <w:t>可交换债）</w:t>
      </w:r>
    </w:p>
    <w:p w:rsidR="00302AB6" w:rsidRPr="00302AB6" w:rsidRDefault="00302AB6" w:rsidP="00302AB6">
      <w:pPr>
        <w:rPr>
          <w:i/>
        </w:rPr>
      </w:pPr>
      <w:r w:rsidRPr="00302AB6">
        <w:rPr>
          <w:i/>
        </w:rPr>
        <w:t>（指南：存续中的定增，需说明股价、规模、解禁时间、主要持股人；拟发行的定增，需说明定增投向，核准进度，股价，主要持股人等）</w:t>
      </w:r>
    </w:p>
    <w:p w:rsidR="00B502D9" w:rsidRPr="00302AB6" w:rsidRDefault="00B502D9" w:rsidP="00B502D9">
      <w:pPr>
        <w:rPr>
          <w:b/>
          <w:sz w:val="24"/>
        </w:rPr>
      </w:pPr>
    </w:p>
    <w:p w:rsidR="00CA1254" w:rsidRDefault="00B502D9" w:rsidP="00CA1254">
      <w:pPr>
        <w:pStyle w:val="a3"/>
        <w:numPr>
          <w:ilvl w:val="0"/>
          <w:numId w:val="9"/>
        </w:numPr>
        <w:ind w:firstLineChars="0"/>
        <w:rPr>
          <w:b/>
          <w:sz w:val="24"/>
        </w:rPr>
      </w:pPr>
      <w:r>
        <w:rPr>
          <w:rFonts w:hint="eastAsia"/>
          <w:b/>
          <w:sz w:val="24"/>
        </w:rPr>
        <w:t>管理层持股、</w:t>
      </w:r>
      <w:r w:rsidR="00CA1254">
        <w:rPr>
          <w:rFonts w:hint="eastAsia"/>
          <w:b/>
          <w:sz w:val="24"/>
        </w:rPr>
        <w:t>员工持股或股权激励</w:t>
      </w:r>
      <w:r w:rsidR="00002D9B">
        <w:rPr>
          <w:rFonts w:hint="eastAsia"/>
          <w:b/>
          <w:sz w:val="24"/>
        </w:rPr>
        <w:t>、</w:t>
      </w:r>
      <w:r w:rsidR="00002D9B">
        <w:rPr>
          <w:b/>
          <w:sz w:val="24"/>
        </w:rPr>
        <w:t>减持计划</w:t>
      </w:r>
    </w:p>
    <w:p w:rsidR="00B502D9" w:rsidRDefault="00302AB6" w:rsidP="00B502D9">
      <w:pPr>
        <w:rPr>
          <w:i/>
        </w:rPr>
      </w:pPr>
      <w:r w:rsidRPr="00302AB6">
        <w:rPr>
          <w:i/>
        </w:rPr>
        <w:t>（指南：存续中的事项，需说明持股获得时间，成本，规模及实施条件；拟实施的事项，需</w:t>
      </w:r>
      <w:r w:rsidRPr="00302AB6">
        <w:rPr>
          <w:i/>
        </w:rPr>
        <w:lastRenderedPageBreak/>
        <w:t>说明拟操作的时间，成本，规模及实施条件）</w:t>
      </w:r>
    </w:p>
    <w:p w:rsidR="00D42646" w:rsidRPr="00302AB6" w:rsidRDefault="00D42646" w:rsidP="00992589">
      <w:pPr>
        <w:rPr>
          <w:rFonts w:hint="eastAsia"/>
          <w:b/>
          <w:sz w:val="24"/>
        </w:rPr>
      </w:pPr>
    </w:p>
    <w:p w:rsidR="00D42646" w:rsidRDefault="00D42646" w:rsidP="00B502D9">
      <w:pPr>
        <w:pStyle w:val="a3"/>
        <w:numPr>
          <w:ilvl w:val="0"/>
          <w:numId w:val="9"/>
        </w:numPr>
        <w:ind w:firstLineChars="0"/>
        <w:rPr>
          <w:b/>
          <w:sz w:val="24"/>
        </w:rPr>
      </w:pPr>
      <w:r>
        <w:rPr>
          <w:rFonts w:hint="eastAsia"/>
          <w:b/>
          <w:sz w:val="24"/>
        </w:rPr>
        <w:t>筹码</w:t>
      </w:r>
      <w:r>
        <w:rPr>
          <w:b/>
          <w:sz w:val="24"/>
        </w:rPr>
        <w:t>结构</w:t>
      </w:r>
    </w:p>
    <w:p w:rsidR="00B502D9" w:rsidRPr="00302AB6" w:rsidRDefault="00B502D9" w:rsidP="00B502D9">
      <w:pPr>
        <w:rPr>
          <w:b/>
          <w:sz w:val="24"/>
        </w:rPr>
      </w:pPr>
    </w:p>
    <w:p w:rsidR="00B502D9" w:rsidRPr="00D66605" w:rsidRDefault="00D66605" w:rsidP="00D66605">
      <w:pPr>
        <w:pStyle w:val="a3"/>
        <w:numPr>
          <w:ilvl w:val="0"/>
          <w:numId w:val="9"/>
        </w:numPr>
        <w:ind w:firstLineChars="0"/>
        <w:rPr>
          <w:b/>
          <w:sz w:val="24"/>
        </w:rPr>
      </w:pPr>
      <w:r w:rsidRPr="00D66605">
        <w:rPr>
          <w:rFonts w:hint="eastAsia"/>
          <w:b/>
          <w:sz w:val="24"/>
        </w:rPr>
        <w:t>市场</w:t>
      </w:r>
      <w:r w:rsidRPr="00D66605">
        <w:rPr>
          <w:b/>
          <w:sz w:val="24"/>
        </w:rPr>
        <w:t>预期差</w:t>
      </w:r>
    </w:p>
    <w:p w:rsidR="00302AB6" w:rsidRPr="00BA3A6E" w:rsidRDefault="00302AB6" w:rsidP="00BA3A6E">
      <w:pPr>
        <w:rPr>
          <w:i/>
        </w:rPr>
      </w:pPr>
      <w:r w:rsidRPr="00BA3A6E">
        <w:rPr>
          <w:i/>
        </w:rPr>
        <w:t>（指南：根据投资者关系</w:t>
      </w:r>
      <w:r w:rsidR="00817478">
        <w:rPr>
          <w:rFonts w:hint="eastAsia"/>
          <w:i/>
        </w:rPr>
        <w:t>活动</w:t>
      </w:r>
      <w:r w:rsidRPr="00BA3A6E">
        <w:rPr>
          <w:i/>
        </w:rPr>
        <w:t>记录表指出市场对影响该上市公司业绩的重要因子认知程度）</w:t>
      </w:r>
    </w:p>
    <w:p w:rsidR="00D66605" w:rsidRPr="00302AB6" w:rsidRDefault="00D66605" w:rsidP="00F05B93">
      <w:pPr>
        <w:rPr>
          <w:b/>
          <w:sz w:val="24"/>
        </w:rPr>
      </w:pPr>
    </w:p>
    <w:p w:rsidR="00526F02" w:rsidRDefault="00526F02" w:rsidP="00526F02">
      <w:pPr>
        <w:pStyle w:val="a3"/>
        <w:numPr>
          <w:ilvl w:val="0"/>
          <w:numId w:val="9"/>
        </w:numPr>
        <w:ind w:firstLineChars="0"/>
        <w:rPr>
          <w:b/>
          <w:sz w:val="24"/>
        </w:rPr>
      </w:pPr>
      <w:r>
        <w:rPr>
          <w:rFonts w:hint="eastAsia"/>
          <w:b/>
          <w:sz w:val="24"/>
        </w:rPr>
        <w:t>并购</w:t>
      </w:r>
      <w:r>
        <w:rPr>
          <w:b/>
          <w:sz w:val="24"/>
        </w:rPr>
        <w:t>预期</w:t>
      </w:r>
    </w:p>
    <w:p w:rsidR="00526F02" w:rsidRPr="00302AB6" w:rsidRDefault="00526F02" w:rsidP="00526F02">
      <w:pPr>
        <w:rPr>
          <w:i/>
        </w:rPr>
      </w:pPr>
      <w:r w:rsidRPr="00302AB6">
        <w:rPr>
          <w:rFonts w:hint="eastAsia"/>
          <w:i/>
        </w:rPr>
        <w:t>（指南：</w:t>
      </w:r>
      <w:r w:rsidRPr="00302AB6">
        <w:rPr>
          <w:i/>
        </w:rPr>
        <w:t>从账面现金、过往并购动作、调研时披露的并购预期、行业现状</w:t>
      </w:r>
      <w:r w:rsidRPr="00302AB6">
        <w:rPr>
          <w:i/>
        </w:rPr>
        <w:t>4</w:t>
      </w:r>
      <w:r w:rsidRPr="00302AB6">
        <w:rPr>
          <w:i/>
        </w:rPr>
        <w:t>方面说明并购预期情况）</w:t>
      </w:r>
    </w:p>
    <w:p w:rsidR="00D66605" w:rsidRPr="00526F02" w:rsidRDefault="00D66605" w:rsidP="00D66605">
      <w:pPr>
        <w:rPr>
          <w:b/>
          <w:sz w:val="24"/>
        </w:rPr>
      </w:pPr>
    </w:p>
    <w:p w:rsidR="003F1AA6" w:rsidRDefault="00817478" w:rsidP="003F1AA6">
      <w:pPr>
        <w:pStyle w:val="a3"/>
        <w:numPr>
          <w:ilvl w:val="0"/>
          <w:numId w:val="1"/>
        </w:numPr>
        <w:ind w:firstLineChars="0"/>
        <w:rPr>
          <w:b/>
          <w:sz w:val="28"/>
        </w:rPr>
      </w:pPr>
      <w:r>
        <w:rPr>
          <w:rFonts w:hint="eastAsia"/>
          <w:b/>
          <w:sz w:val="28"/>
        </w:rPr>
        <w:t>需</w:t>
      </w:r>
      <w:r w:rsidR="003F1AA6">
        <w:rPr>
          <w:rFonts w:hint="eastAsia"/>
          <w:b/>
          <w:sz w:val="28"/>
        </w:rPr>
        <w:t>调研问题</w:t>
      </w:r>
      <w:r>
        <w:rPr>
          <w:rFonts w:hint="eastAsia"/>
          <w:b/>
          <w:sz w:val="28"/>
        </w:rPr>
        <w:t>及</w:t>
      </w:r>
      <w:r>
        <w:rPr>
          <w:b/>
          <w:sz w:val="28"/>
        </w:rPr>
        <w:t>跟踪项</w:t>
      </w:r>
      <w:r w:rsidR="003F1AA6">
        <w:rPr>
          <w:rFonts w:hint="eastAsia"/>
          <w:b/>
          <w:sz w:val="28"/>
        </w:rPr>
        <w:t>（即</w:t>
      </w:r>
      <w:r w:rsidR="000F55CA">
        <w:rPr>
          <w:rFonts w:hint="eastAsia"/>
          <w:b/>
          <w:sz w:val="28"/>
        </w:rPr>
        <w:t>查阅</w:t>
      </w:r>
      <w:r w:rsidR="003F1AA6">
        <w:rPr>
          <w:rFonts w:hint="eastAsia"/>
          <w:b/>
          <w:sz w:val="28"/>
        </w:rPr>
        <w:t>公开信息</w:t>
      </w:r>
      <w:r w:rsidR="00CA1254">
        <w:rPr>
          <w:rFonts w:hint="eastAsia"/>
          <w:b/>
          <w:sz w:val="28"/>
        </w:rPr>
        <w:t>无法得知的</w:t>
      </w:r>
      <w:r w:rsidR="000F55CA">
        <w:rPr>
          <w:rFonts w:hint="eastAsia"/>
          <w:b/>
          <w:sz w:val="28"/>
        </w:rPr>
        <w:t>部分</w:t>
      </w:r>
      <w:r w:rsidR="003F1AA6">
        <w:rPr>
          <w:rFonts w:hint="eastAsia"/>
          <w:b/>
          <w:sz w:val="28"/>
        </w:rPr>
        <w:t>）</w:t>
      </w:r>
    </w:p>
    <w:p w:rsidR="00A372D0" w:rsidRPr="00A372D0" w:rsidRDefault="00A372D0" w:rsidP="00A372D0">
      <w:pPr>
        <w:pStyle w:val="a3"/>
        <w:numPr>
          <w:ilvl w:val="0"/>
          <w:numId w:val="7"/>
        </w:numPr>
        <w:ind w:firstLineChars="0"/>
        <w:rPr>
          <w:b/>
          <w:sz w:val="24"/>
        </w:rPr>
      </w:pPr>
      <w:r>
        <w:rPr>
          <w:rFonts w:hint="eastAsia"/>
          <w:b/>
          <w:sz w:val="24"/>
        </w:rPr>
        <w:t>市场调研关注问题（来自投资者关系</w:t>
      </w:r>
      <w:r w:rsidR="00551895">
        <w:rPr>
          <w:rFonts w:hint="eastAsia"/>
          <w:b/>
          <w:sz w:val="24"/>
        </w:rPr>
        <w:t>活动</w:t>
      </w:r>
      <w:r>
        <w:rPr>
          <w:rFonts w:hint="eastAsia"/>
          <w:b/>
          <w:sz w:val="24"/>
        </w:rPr>
        <w:t>记录表）</w:t>
      </w:r>
    </w:p>
    <w:p w:rsidR="00A372D0" w:rsidRPr="00BA3A6E" w:rsidRDefault="00BA3A6E" w:rsidP="00BA3A6E">
      <w:pPr>
        <w:rPr>
          <w:i/>
        </w:rPr>
      </w:pPr>
      <w:r w:rsidRPr="00BA3A6E">
        <w:rPr>
          <w:rFonts w:hint="eastAsia"/>
          <w:i/>
        </w:rPr>
        <w:t>（指南：根据投资者关系记录表列出调研时普遍关注的问题及上市公司的回答）</w:t>
      </w:r>
    </w:p>
    <w:p w:rsidR="00651043" w:rsidRDefault="00651043" w:rsidP="00A372D0">
      <w:pPr>
        <w:pStyle w:val="a3"/>
        <w:ind w:left="720" w:firstLineChars="0" w:firstLine="0"/>
        <w:rPr>
          <w:b/>
          <w:sz w:val="24"/>
        </w:rPr>
      </w:pPr>
    </w:p>
    <w:p w:rsidR="003F1AA6" w:rsidRDefault="00CA1254" w:rsidP="003F1AA6">
      <w:pPr>
        <w:pStyle w:val="a3"/>
        <w:numPr>
          <w:ilvl w:val="0"/>
          <w:numId w:val="7"/>
        </w:numPr>
        <w:ind w:firstLineChars="0"/>
        <w:rPr>
          <w:b/>
          <w:sz w:val="24"/>
        </w:rPr>
      </w:pPr>
      <w:r w:rsidRPr="00CA1254">
        <w:rPr>
          <w:rFonts w:hint="eastAsia"/>
          <w:b/>
          <w:sz w:val="24"/>
        </w:rPr>
        <w:t>管理层评估</w:t>
      </w:r>
    </w:p>
    <w:p w:rsidR="00CA1254" w:rsidRDefault="00CA1254" w:rsidP="00CA1254">
      <w:pPr>
        <w:pStyle w:val="a3"/>
        <w:numPr>
          <w:ilvl w:val="0"/>
          <w:numId w:val="8"/>
        </w:numPr>
        <w:ind w:firstLineChars="0"/>
      </w:pPr>
      <w:r>
        <w:rPr>
          <w:rFonts w:hint="eastAsia"/>
        </w:rPr>
        <w:t>格局、能力及进取心</w:t>
      </w:r>
    </w:p>
    <w:p w:rsidR="00CA1254" w:rsidRDefault="00CA1254" w:rsidP="00CA1254"/>
    <w:p w:rsidR="003F1AA6" w:rsidRPr="00964849" w:rsidRDefault="00CA1254" w:rsidP="003F1AA6">
      <w:pPr>
        <w:pStyle w:val="a3"/>
        <w:numPr>
          <w:ilvl w:val="0"/>
          <w:numId w:val="8"/>
        </w:numPr>
        <w:ind w:firstLineChars="0"/>
        <w:rPr>
          <w:rFonts w:hint="eastAsia"/>
        </w:rPr>
      </w:pPr>
      <w:r>
        <w:rPr>
          <w:rFonts w:hint="eastAsia"/>
        </w:rPr>
        <w:t>市值管理意愿</w:t>
      </w:r>
    </w:p>
    <w:sectPr w:rsidR="003F1AA6" w:rsidRPr="00964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299" w:rsidRDefault="007E5299" w:rsidP="00147799">
      <w:r>
        <w:separator/>
      </w:r>
    </w:p>
  </w:endnote>
  <w:endnote w:type="continuationSeparator" w:id="0">
    <w:p w:rsidR="007E5299" w:rsidRDefault="007E5299" w:rsidP="0014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299" w:rsidRDefault="007E5299" w:rsidP="00147799">
      <w:r>
        <w:separator/>
      </w:r>
    </w:p>
  </w:footnote>
  <w:footnote w:type="continuationSeparator" w:id="0">
    <w:p w:rsidR="007E5299" w:rsidRDefault="007E5299" w:rsidP="0014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C01"/>
    <w:multiLevelType w:val="hybridMultilevel"/>
    <w:tmpl w:val="D208135C"/>
    <w:lvl w:ilvl="0" w:tplc="01E06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A7C7C"/>
    <w:multiLevelType w:val="hybridMultilevel"/>
    <w:tmpl w:val="AC18C9EA"/>
    <w:lvl w:ilvl="0" w:tplc="178A6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EC61BE"/>
    <w:multiLevelType w:val="hybridMultilevel"/>
    <w:tmpl w:val="29203B0C"/>
    <w:lvl w:ilvl="0" w:tplc="233AC8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30741"/>
    <w:multiLevelType w:val="hybridMultilevel"/>
    <w:tmpl w:val="3C70EF32"/>
    <w:lvl w:ilvl="0" w:tplc="418AD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A6176"/>
    <w:multiLevelType w:val="hybridMultilevel"/>
    <w:tmpl w:val="17D49E7E"/>
    <w:lvl w:ilvl="0" w:tplc="4AE46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42BF9"/>
    <w:multiLevelType w:val="hybridMultilevel"/>
    <w:tmpl w:val="E7AA26D0"/>
    <w:lvl w:ilvl="0" w:tplc="1CFEC7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792BD6"/>
    <w:multiLevelType w:val="hybridMultilevel"/>
    <w:tmpl w:val="E79ABC38"/>
    <w:lvl w:ilvl="0" w:tplc="467202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4608E3"/>
    <w:multiLevelType w:val="hybridMultilevel"/>
    <w:tmpl w:val="B76A1010"/>
    <w:lvl w:ilvl="0" w:tplc="8ABCC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82641B"/>
    <w:multiLevelType w:val="hybridMultilevel"/>
    <w:tmpl w:val="9258D92E"/>
    <w:lvl w:ilvl="0" w:tplc="2930A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2B29EE"/>
    <w:multiLevelType w:val="hybridMultilevel"/>
    <w:tmpl w:val="55983530"/>
    <w:lvl w:ilvl="0" w:tplc="C42AF13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436186"/>
    <w:multiLevelType w:val="hybridMultilevel"/>
    <w:tmpl w:val="D0CA9526"/>
    <w:lvl w:ilvl="0" w:tplc="20C0D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AA1A20"/>
    <w:multiLevelType w:val="hybridMultilevel"/>
    <w:tmpl w:val="47EC9C94"/>
    <w:lvl w:ilvl="0" w:tplc="05B43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25378C"/>
    <w:multiLevelType w:val="hybridMultilevel"/>
    <w:tmpl w:val="AC523D1A"/>
    <w:lvl w:ilvl="0" w:tplc="0C4AD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1A5DBE"/>
    <w:multiLevelType w:val="hybridMultilevel"/>
    <w:tmpl w:val="2C4831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F4643"/>
    <w:multiLevelType w:val="hybridMultilevel"/>
    <w:tmpl w:val="76563234"/>
    <w:lvl w:ilvl="0" w:tplc="ADF639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E4C96"/>
    <w:multiLevelType w:val="hybridMultilevel"/>
    <w:tmpl w:val="F3E8BA1A"/>
    <w:lvl w:ilvl="0" w:tplc="08F8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490356"/>
    <w:multiLevelType w:val="hybridMultilevel"/>
    <w:tmpl w:val="BC1E4810"/>
    <w:lvl w:ilvl="0" w:tplc="85F0F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6"/>
  </w:num>
  <w:num w:numId="3">
    <w:abstractNumId w:val="8"/>
  </w:num>
  <w:num w:numId="4">
    <w:abstractNumId w:val="12"/>
  </w:num>
  <w:num w:numId="5">
    <w:abstractNumId w:val="4"/>
  </w:num>
  <w:num w:numId="6">
    <w:abstractNumId w:val="0"/>
  </w:num>
  <w:num w:numId="7">
    <w:abstractNumId w:val="2"/>
  </w:num>
  <w:num w:numId="8">
    <w:abstractNumId w:val="7"/>
  </w:num>
  <w:num w:numId="9">
    <w:abstractNumId w:val="9"/>
  </w:num>
  <w:num w:numId="10">
    <w:abstractNumId w:val="15"/>
  </w:num>
  <w:num w:numId="11">
    <w:abstractNumId w:val="5"/>
  </w:num>
  <w:num w:numId="12">
    <w:abstractNumId w:val="14"/>
  </w:num>
  <w:num w:numId="13">
    <w:abstractNumId w:val="1"/>
  </w:num>
  <w:num w:numId="14">
    <w:abstractNumId w:val="13"/>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EC"/>
    <w:rsid w:val="00002D9B"/>
    <w:rsid w:val="00013650"/>
    <w:rsid w:val="0003006A"/>
    <w:rsid w:val="00031FCB"/>
    <w:rsid w:val="000551E4"/>
    <w:rsid w:val="000A0A83"/>
    <w:rsid w:val="000A1A65"/>
    <w:rsid w:val="000A23A3"/>
    <w:rsid w:val="000A795C"/>
    <w:rsid w:val="000B2C7C"/>
    <w:rsid w:val="000E1538"/>
    <w:rsid w:val="000F5026"/>
    <w:rsid w:val="000F55CA"/>
    <w:rsid w:val="00104E6C"/>
    <w:rsid w:val="00106B88"/>
    <w:rsid w:val="00124039"/>
    <w:rsid w:val="0012747F"/>
    <w:rsid w:val="00130F03"/>
    <w:rsid w:val="001327F7"/>
    <w:rsid w:val="0014693B"/>
    <w:rsid w:val="00147799"/>
    <w:rsid w:val="00166C77"/>
    <w:rsid w:val="00175EC9"/>
    <w:rsid w:val="00190E9F"/>
    <w:rsid w:val="0019224E"/>
    <w:rsid w:val="00193CA8"/>
    <w:rsid w:val="001B41D4"/>
    <w:rsid w:val="001C507B"/>
    <w:rsid w:val="001C62C9"/>
    <w:rsid w:val="001C726B"/>
    <w:rsid w:val="001E7BF6"/>
    <w:rsid w:val="001F52E2"/>
    <w:rsid w:val="00206976"/>
    <w:rsid w:val="0022383F"/>
    <w:rsid w:val="002647C5"/>
    <w:rsid w:val="00297E1C"/>
    <w:rsid w:val="00302AB6"/>
    <w:rsid w:val="00317144"/>
    <w:rsid w:val="0033094B"/>
    <w:rsid w:val="00346AA8"/>
    <w:rsid w:val="003670B2"/>
    <w:rsid w:val="00374239"/>
    <w:rsid w:val="003C0A91"/>
    <w:rsid w:val="003C0DDE"/>
    <w:rsid w:val="003D3669"/>
    <w:rsid w:val="003D4AE5"/>
    <w:rsid w:val="003D7E7A"/>
    <w:rsid w:val="003E1CF4"/>
    <w:rsid w:val="003E293B"/>
    <w:rsid w:val="003E62D0"/>
    <w:rsid w:val="003F1AA6"/>
    <w:rsid w:val="00424AC9"/>
    <w:rsid w:val="00437D43"/>
    <w:rsid w:val="00450137"/>
    <w:rsid w:val="0047217B"/>
    <w:rsid w:val="00473DBB"/>
    <w:rsid w:val="00494D36"/>
    <w:rsid w:val="004C2650"/>
    <w:rsid w:val="004D04CA"/>
    <w:rsid w:val="004D63D4"/>
    <w:rsid w:val="00526F02"/>
    <w:rsid w:val="00531BFE"/>
    <w:rsid w:val="00551895"/>
    <w:rsid w:val="00553088"/>
    <w:rsid w:val="00567876"/>
    <w:rsid w:val="00571A11"/>
    <w:rsid w:val="00592791"/>
    <w:rsid w:val="005A3DA2"/>
    <w:rsid w:val="005A478F"/>
    <w:rsid w:val="005B6B01"/>
    <w:rsid w:val="005C17F8"/>
    <w:rsid w:val="005D2A92"/>
    <w:rsid w:val="005F38CB"/>
    <w:rsid w:val="005F47E1"/>
    <w:rsid w:val="005F5AB7"/>
    <w:rsid w:val="00622D40"/>
    <w:rsid w:val="006478A6"/>
    <w:rsid w:val="00651043"/>
    <w:rsid w:val="0065367D"/>
    <w:rsid w:val="00655803"/>
    <w:rsid w:val="006834E2"/>
    <w:rsid w:val="006963E6"/>
    <w:rsid w:val="006A3A88"/>
    <w:rsid w:val="006C4595"/>
    <w:rsid w:val="006D1D3D"/>
    <w:rsid w:val="006F7831"/>
    <w:rsid w:val="00707EAE"/>
    <w:rsid w:val="00710892"/>
    <w:rsid w:val="007315FB"/>
    <w:rsid w:val="00752550"/>
    <w:rsid w:val="00773CF4"/>
    <w:rsid w:val="007B5B97"/>
    <w:rsid w:val="007D674E"/>
    <w:rsid w:val="007E5299"/>
    <w:rsid w:val="00814A05"/>
    <w:rsid w:val="008159C5"/>
    <w:rsid w:val="00817478"/>
    <w:rsid w:val="0082029A"/>
    <w:rsid w:val="008610B4"/>
    <w:rsid w:val="0086656E"/>
    <w:rsid w:val="008665BF"/>
    <w:rsid w:val="0087497C"/>
    <w:rsid w:val="00885D6E"/>
    <w:rsid w:val="008931C5"/>
    <w:rsid w:val="008D108B"/>
    <w:rsid w:val="008E59E8"/>
    <w:rsid w:val="008F36C1"/>
    <w:rsid w:val="00903E5C"/>
    <w:rsid w:val="00936190"/>
    <w:rsid w:val="009530C2"/>
    <w:rsid w:val="00964849"/>
    <w:rsid w:val="0096640D"/>
    <w:rsid w:val="00981DEF"/>
    <w:rsid w:val="00984B4E"/>
    <w:rsid w:val="00992589"/>
    <w:rsid w:val="009941E3"/>
    <w:rsid w:val="00995160"/>
    <w:rsid w:val="009A001D"/>
    <w:rsid w:val="009A1B15"/>
    <w:rsid w:val="009B64F8"/>
    <w:rsid w:val="009D0E9E"/>
    <w:rsid w:val="009F0190"/>
    <w:rsid w:val="00A102EB"/>
    <w:rsid w:val="00A142AA"/>
    <w:rsid w:val="00A372D0"/>
    <w:rsid w:val="00A47683"/>
    <w:rsid w:val="00A60557"/>
    <w:rsid w:val="00A61B69"/>
    <w:rsid w:val="00A67C74"/>
    <w:rsid w:val="00A91944"/>
    <w:rsid w:val="00AD1A09"/>
    <w:rsid w:val="00AD5433"/>
    <w:rsid w:val="00AE7BA2"/>
    <w:rsid w:val="00AF04A6"/>
    <w:rsid w:val="00B03A59"/>
    <w:rsid w:val="00B41ED6"/>
    <w:rsid w:val="00B502D9"/>
    <w:rsid w:val="00B546CE"/>
    <w:rsid w:val="00B63A81"/>
    <w:rsid w:val="00BA3A6E"/>
    <w:rsid w:val="00BC7F94"/>
    <w:rsid w:val="00BE13C9"/>
    <w:rsid w:val="00BE2C75"/>
    <w:rsid w:val="00BE2CCE"/>
    <w:rsid w:val="00C064CB"/>
    <w:rsid w:val="00C16FE8"/>
    <w:rsid w:val="00C21236"/>
    <w:rsid w:val="00C26815"/>
    <w:rsid w:val="00C307A4"/>
    <w:rsid w:val="00C34C68"/>
    <w:rsid w:val="00C5098E"/>
    <w:rsid w:val="00C74EFB"/>
    <w:rsid w:val="00CA1254"/>
    <w:rsid w:val="00CB2CFB"/>
    <w:rsid w:val="00CB60E3"/>
    <w:rsid w:val="00CD0FCE"/>
    <w:rsid w:val="00CE1D64"/>
    <w:rsid w:val="00CF3CEC"/>
    <w:rsid w:val="00D02E6E"/>
    <w:rsid w:val="00D15384"/>
    <w:rsid w:val="00D3469C"/>
    <w:rsid w:val="00D42646"/>
    <w:rsid w:val="00D66605"/>
    <w:rsid w:val="00D843B1"/>
    <w:rsid w:val="00D96290"/>
    <w:rsid w:val="00D97623"/>
    <w:rsid w:val="00DC4EF6"/>
    <w:rsid w:val="00DC58F3"/>
    <w:rsid w:val="00DD1CB7"/>
    <w:rsid w:val="00DD40C6"/>
    <w:rsid w:val="00DE1DD0"/>
    <w:rsid w:val="00E0507F"/>
    <w:rsid w:val="00E165E4"/>
    <w:rsid w:val="00E1720F"/>
    <w:rsid w:val="00E74D2A"/>
    <w:rsid w:val="00E77E34"/>
    <w:rsid w:val="00E82E74"/>
    <w:rsid w:val="00EB2990"/>
    <w:rsid w:val="00EC1B04"/>
    <w:rsid w:val="00EC24B6"/>
    <w:rsid w:val="00ED14E9"/>
    <w:rsid w:val="00EF27C4"/>
    <w:rsid w:val="00F057BF"/>
    <w:rsid w:val="00F05B93"/>
    <w:rsid w:val="00F23520"/>
    <w:rsid w:val="00F23F06"/>
    <w:rsid w:val="00F24E5B"/>
    <w:rsid w:val="00F33C81"/>
    <w:rsid w:val="00F427C1"/>
    <w:rsid w:val="00F47D92"/>
    <w:rsid w:val="00F67FE8"/>
    <w:rsid w:val="00F84D9B"/>
    <w:rsid w:val="00F86B33"/>
    <w:rsid w:val="00F9513E"/>
    <w:rsid w:val="00FE5BEC"/>
    <w:rsid w:val="00F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6CA21"/>
  <w15:chartTrackingRefBased/>
  <w15:docId w15:val="{6FD57FDB-7F22-45E5-B124-B9B9E8E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791"/>
    <w:pPr>
      <w:ind w:firstLineChars="200" w:firstLine="420"/>
    </w:pPr>
  </w:style>
  <w:style w:type="paragraph" w:styleId="a4">
    <w:name w:val="header"/>
    <w:basedOn w:val="a"/>
    <w:link w:val="a5"/>
    <w:rsid w:val="001477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47799"/>
    <w:rPr>
      <w:kern w:val="2"/>
      <w:sz w:val="18"/>
      <w:szCs w:val="18"/>
    </w:rPr>
  </w:style>
  <w:style w:type="paragraph" w:styleId="a6">
    <w:name w:val="footer"/>
    <w:basedOn w:val="a"/>
    <w:link w:val="a7"/>
    <w:rsid w:val="00147799"/>
    <w:pPr>
      <w:tabs>
        <w:tab w:val="center" w:pos="4153"/>
        <w:tab w:val="right" w:pos="8306"/>
      </w:tabs>
      <w:snapToGrid w:val="0"/>
      <w:jc w:val="left"/>
    </w:pPr>
    <w:rPr>
      <w:sz w:val="18"/>
      <w:szCs w:val="18"/>
    </w:rPr>
  </w:style>
  <w:style w:type="character" w:customStyle="1" w:styleId="a7">
    <w:name w:val="页脚 字符"/>
    <w:basedOn w:val="a0"/>
    <w:link w:val="a6"/>
    <w:rsid w:val="00147799"/>
    <w:rPr>
      <w:kern w:val="2"/>
      <w:sz w:val="18"/>
      <w:szCs w:val="18"/>
    </w:rPr>
  </w:style>
  <w:style w:type="paragraph" w:customStyle="1" w:styleId="Default">
    <w:name w:val="Default"/>
    <w:rsid w:val="00885D6E"/>
    <w:pPr>
      <w:widowControl w:val="0"/>
      <w:autoSpaceDE w:val="0"/>
      <w:autoSpaceDN w:val="0"/>
      <w:adjustRightInd w:val="0"/>
    </w:pPr>
    <w:rPr>
      <w:rFonts w:ascii="宋体" w:cs="宋体"/>
      <w:color w:val="000000"/>
      <w:sz w:val="24"/>
      <w:szCs w:val="24"/>
    </w:rPr>
  </w:style>
  <w:style w:type="table" w:styleId="a8">
    <w:name w:val="Table Grid"/>
    <w:basedOn w:val="a1"/>
    <w:rsid w:val="003F1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a0"/>
    <w:rsid w:val="00013650"/>
  </w:style>
  <w:style w:type="character" w:customStyle="1" w:styleId="s3">
    <w:name w:val="s3"/>
    <w:basedOn w:val="a0"/>
    <w:rsid w:val="00013650"/>
  </w:style>
  <w:style w:type="paragraph" w:customStyle="1" w:styleId="p10">
    <w:name w:val="p10"/>
    <w:basedOn w:val="a"/>
    <w:rsid w:val="00302AB6"/>
    <w:pPr>
      <w:widowControl/>
      <w:spacing w:before="100" w:beforeAutospacing="1" w:after="100" w:afterAutospacing="1"/>
      <w:jc w:val="left"/>
    </w:pPr>
    <w:rPr>
      <w:rFonts w:ascii="宋体" w:hAnsi="宋体" w:cs="宋体"/>
      <w:kern w:val="0"/>
      <w:sz w:val="24"/>
    </w:rPr>
  </w:style>
  <w:style w:type="character" w:customStyle="1" w:styleId="s9">
    <w:name w:val="s9"/>
    <w:basedOn w:val="a0"/>
    <w:rsid w:val="00302AB6"/>
  </w:style>
  <w:style w:type="paragraph" w:customStyle="1" w:styleId="p8">
    <w:name w:val="p8"/>
    <w:basedOn w:val="a"/>
    <w:rsid w:val="00302AB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2969">
      <w:bodyDiv w:val="1"/>
      <w:marLeft w:val="0"/>
      <w:marRight w:val="0"/>
      <w:marTop w:val="0"/>
      <w:marBottom w:val="0"/>
      <w:divBdr>
        <w:top w:val="none" w:sz="0" w:space="0" w:color="auto"/>
        <w:left w:val="none" w:sz="0" w:space="0" w:color="auto"/>
        <w:bottom w:val="none" w:sz="0" w:space="0" w:color="auto"/>
        <w:right w:val="none" w:sz="0" w:space="0" w:color="auto"/>
      </w:divBdr>
    </w:div>
    <w:div w:id="567425748">
      <w:bodyDiv w:val="1"/>
      <w:marLeft w:val="0"/>
      <w:marRight w:val="0"/>
      <w:marTop w:val="0"/>
      <w:marBottom w:val="0"/>
      <w:divBdr>
        <w:top w:val="none" w:sz="0" w:space="0" w:color="auto"/>
        <w:left w:val="none" w:sz="0" w:space="0" w:color="auto"/>
        <w:bottom w:val="none" w:sz="0" w:space="0" w:color="auto"/>
        <w:right w:val="none" w:sz="0" w:space="0" w:color="auto"/>
      </w:divBdr>
    </w:div>
    <w:div w:id="714307016">
      <w:bodyDiv w:val="1"/>
      <w:marLeft w:val="0"/>
      <w:marRight w:val="0"/>
      <w:marTop w:val="0"/>
      <w:marBottom w:val="0"/>
      <w:divBdr>
        <w:top w:val="none" w:sz="0" w:space="0" w:color="auto"/>
        <w:left w:val="none" w:sz="0" w:space="0" w:color="auto"/>
        <w:bottom w:val="none" w:sz="0" w:space="0" w:color="auto"/>
        <w:right w:val="none" w:sz="0" w:space="0" w:color="auto"/>
      </w:divBdr>
    </w:div>
    <w:div w:id="1198202507">
      <w:bodyDiv w:val="1"/>
      <w:marLeft w:val="0"/>
      <w:marRight w:val="0"/>
      <w:marTop w:val="0"/>
      <w:marBottom w:val="0"/>
      <w:divBdr>
        <w:top w:val="none" w:sz="0" w:space="0" w:color="auto"/>
        <w:left w:val="none" w:sz="0" w:space="0" w:color="auto"/>
        <w:bottom w:val="none" w:sz="0" w:space="0" w:color="auto"/>
        <w:right w:val="none" w:sz="0" w:space="0" w:color="auto"/>
      </w:divBdr>
    </w:div>
    <w:div w:id="1701665568">
      <w:bodyDiv w:val="1"/>
      <w:marLeft w:val="0"/>
      <w:marRight w:val="0"/>
      <w:marTop w:val="0"/>
      <w:marBottom w:val="0"/>
      <w:divBdr>
        <w:top w:val="none" w:sz="0" w:space="0" w:color="auto"/>
        <w:left w:val="none" w:sz="0" w:space="0" w:color="auto"/>
        <w:bottom w:val="none" w:sz="0" w:space="0" w:color="auto"/>
        <w:right w:val="none" w:sz="0" w:space="0" w:color="auto"/>
      </w:divBdr>
    </w:div>
    <w:div w:id="1727029529">
      <w:bodyDiv w:val="1"/>
      <w:marLeft w:val="0"/>
      <w:marRight w:val="0"/>
      <w:marTop w:val="0"/>
      <w:marBottom w:val="0"/>
      <w:divBdr>
        <w:top w:val="none" w:sz="0" w:space="0" w:color="auto"/>
        <w:left w:val="none" w:sz="0" w:space="0" w:color="auto"/>
        <w:bottom w:val="none" w:sz="0" w:space="0" w:color="auto"/>
        <w:right w:val="none" w:sz="0" w:space="0" w:color="auto"/>
      </w:divBdr>
    </w:div>
    <w:div w:id="21182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2017-03-07T05:44:00Z</dcterms:created>
  <dcterms:modified xsi:type="dcterms:W3CDTF">2017-07-04T12:52:00Z</dcterms:modified>
</cp:coreProperties>
</file>