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Normal"/>
        <w:spacing w:after="0"/>
        <w:jc w:val="center"/>
      </w:pPr>
      <w:r>
        <w:rPr/>
        <w:t/>
      </w:r>
      <w:r>
        <w:rPr/>
        <w:t xml:space="preserve">Table：Summary statistics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VarName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Obs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Mean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SD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Min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P25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Median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P75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Max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CAR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0.0501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0.1428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-0.3237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-0.0315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0.0186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0.1235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0.4130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DPatentN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0.7806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3.2040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23.0000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DPatent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0.2036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0.6053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3.1781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DPatent_w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0.1865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0.5736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3.0445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MKT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15.5329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0.8361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13.8657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14.9311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15.4678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16.0581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17.8566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Age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2.7371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0.3868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1.6094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2.4849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2.7726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3.0445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3.4657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Lev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0.3810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0.2043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0.0411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0.2185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0.3575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0.5225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0.9164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Cashflow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0.0427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0.0656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-0.1599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0.0060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0.0423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0.0813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0.2131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Growth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0.2208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0.4744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-0.4870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0.1224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0.3053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3.1917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Dealval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18.8759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1.9564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14.2210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17.5044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19.0085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20.2665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23.2652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Relevance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0.3966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0.4892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MajorMA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0.2741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0.4461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Indep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0.3749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0.0508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0.3333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0.3333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0.3636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0.4286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0.5556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Acq_Patent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2.7584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1.6387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1.7918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2.9444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3.9318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6.3648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Tar_Patent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0.8503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1.3149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1.6094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5.0938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R_D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0.0364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0.0450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0.0295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0.0496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0.2272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Table：Summary statistics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VarName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Obs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Mean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SD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Min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P25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Median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P75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Max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CAR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0.0758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0.1616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-0.3237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-0.0304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0.0456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0.2052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0.4130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DPatentN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6.0348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6.9081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7.0000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23.0000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DPatent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1.5741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0.8220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0.6931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0.6931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1.3863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2.0794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3.1781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DPatent_w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1.4421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0.8568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0.0351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0.6931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1.1342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1.9459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3.0445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MKT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15.5462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0.8374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13.8657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14.9953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15.4692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16.0704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17.8566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Age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2.7608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0.3949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1.6094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2.5649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2.7726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3.0445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3.4657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Lev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0.3828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0.0411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0.2339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0.3488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0.5250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0.9164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Cashflow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0.0399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0.0614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-0.1599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0.0055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0.0416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0.0756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0.2131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Growth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0.1993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0.4477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-0.4870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0.1318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0.2762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3.1917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Dealval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19.3380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1.9438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14.2210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18.0921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19.5191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20.6757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23.2652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Relevance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0.4560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0.4985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MajorMA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0.3498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0.4773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1.0000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Indep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0.3802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0.0554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0.3333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0.3333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0.3636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0.4286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0.5556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Acq_Patent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3.5474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1.4882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2.7081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3.5553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4.5643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6.3648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Tar_Patent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2.3069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1.5417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1.0986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2.2499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3.4012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5.0938</w:t>
            </w:r>
          </w:p>
        </w:tc>
      </w:tr>
      <w:tr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left"/>
            </w:pPr>
            <w:r>
              <w:rPr/>
              <w:t xml:space="preserve">R_D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546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0.0463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0.0460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0.0062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0.0374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0.0662</w:t>
            </w:r>
          </w:p>
        </w:tc>
        <w:tc>
          <w:tcPr>
            <w:tcW w:w="1003" w:type="dxa"/>
            <w:vAlign w:val="center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0.2272</w:t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-BR1">
    <w:name w:val="Table Grid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" w:default="false">
    <w:name w:val="TableNormal-BR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Normal-BR2" w:default="false">
    <w:name w:val="TableNormal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