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A5890" w14:textId="77777777" w:rsidR="002368C4" w:rsidRPr="00595582" w:rsidRDefault="002368C4" w:rsidP="002368C4">
      <w:pPr>
        <w:jc w:val="both"/>
        <w:rPr>
          <w:rFonts w:ascii="標楷體" w:eastAsia="標楷體" w:hAnsi="標楷體"/>
          <w:bdr w:val="single" w:sz="4" w:space="0" w:color="auto"/>
        </w:rPr>
      </w:pPr>
      <w:r w:rsidRPr="00595582">
        <w:rPr>
          <w:rFonts w:ascii="標楷體" w:eastAsia="標楷體" w:hAnsi="標楷體" w:hint="eastAsia"/>
          <w:bdr w:val="single" w:sz="4" w:space="0" w:color="auto"/>
        </w:rPr>
        <w:t>首頁</w:t>
      </w:r>
    </w:p>
    <w:p w14:paraId="4A04804D" w14:textId="77777777" w:rsidR="002368C4" w:rsidRDefault="002368C4" w:rsidP="002368C4">
      <w:pPr>
        <w:jc w:val="both"/>
        <w:rPr>
          <w:rFonts w:ascii="標楷體" w:eastAsia="標楷體" w:hAnsi="標楷體"/>
          <w:b/>
          <w:bCs/>
        </w:rPr>
      </w:pPr>
      <w:r w:rsidRPr="00EE3F82">
        <w:rPr>
          <w:rFonts w:ascii="標楷體" w:eastAsia="標楷體" w:hAnsi="標楷體" w:hint="eastAsia"/>
          <w:b/>
          <w:bCs/>
          <w:highlight w:val="yellow"/>
        </w:rPr>
        <w:t>A:</w:t>
      </w:r>
    </w:p>
    <w:p w14:paraId="29BAEAB5" w14:textId="77777777" w:rsidR="002368C4" w:rsidRDefault="002368C4" w:rsidP="002368C4">
      <w:pPr>
        <w:jc w:val="both"/>
        <w:rPr>
          <w:rFonts w:ascii="標楷體" w:eastAsia="標楷體" w:hAnsi="標楷體"/>
        </w:rPr>
      </w:pPr>
      <w:r w:rsidRPr="00B01747">
        <w:rPr>
          <w:rFonts w:ascii="標楷體" w:eastAsia="標楷體" w:hAnsi="標楷體"/>
        </w:rPr>
        <w:t>山水有四時，花木有盛衰，在光影與色彩的流轉之間，描繪自然景物不同時節的姿態與氣息。</w:t>
      </w:r>
    </w:p>
    <w:p w14:paraId="02CAE857" w14:textId="77777777" w:rsidR="002368C4" w:rsidRDefault="002368C4" w:rsidP="002368C4">
      <w:pPr>
        <w:jc w:val="both"/>
        <w:rPr>
          <w:rFonts w:ascii="Times New Roman" w:eastAsia="標楷體" w:hAnsi="Times New Roman" w:cs="Times New Roman"/>
        </w:rPr>
      </w:pPr>
      <w:r w:rsidRPr="00EE3F82">
        <w:rPr>
          <w:rFonts w:ascii="Times New Roman" w:eastAsia="標楷體" w:hAnsi="Times New Roman" w:cs="Times New Roman"/>
        </w:rPr>
        <w:t>Landscapes shift with the seasons, while flowers bloom and fade. Through changing light and color, nature reveals its many moods and forms.</w:t>
      </w:r>
    </w:p>
    <w:p w14:paraId="3D400921" w14:textId="77777777" w:rsidR="002368C4" w:rsidRPr="00EE3F82" w:rsidRDefault="002368C4" w:rsidP="002368C4">
      <w:pPr>
        <w:jc w:val="both"/>
        <w:rPr>
          <w:rFonts w:ascii="Times New Roman" w:eastAsia="標楷體" w:hAnsi="Times New Roman" w:cs="Times New Roman"/>
        </w:rPr>
      </w:pPr>
      <w:r>
        <w:rPr>
          <w:rFonts w:ascii="標楷體" w:eastAsia="標楷體" w:hAnsi="標楷體" w:hint="eastAsia"/>
          <w:b/>
          <w:bCs/>
          <w:highlight w:val="yellow"/>
        </w:rPr>
        <w:t>B</w:t>
      </w:r>
      <w:r w:rsidRPr="00EE3F82">
        <w:rPr>
          <w:rFonts w:ascii="標楷體" w:eastAsia="標楷體" w:hAnsi="標楷體" w:hint="eastAsia"/>
          <w:b/>
          <w:bCs/>
          <w:highlight w:val="yellow"/>
        </w:rPr>
        <w:t>:</w:t>
      </w:r>
    </w:p>
    <w:p w14:paraId="5CAB0151" w14:textId="77777777" w:rsidR="002368C4" w:rsidRDefault="002368C4" w:rsidP="002368C4">
      <w:pPr>
        <w:jc w:val="both"/>
        <w:rPr>
          <w:rFonts w:ascii="標楷體" w:eastAsia="標楷體" w:hAnsi="標楷體"/>
        </w:rPr>
      </w:pPr>
      <w:r w:rsidRPr="0047321A">
        <w:rPr>
          <w:rFonts w:ascii="標楷體" w:eastAsia="標楷體" w:hAnsi="標楷體"/>
        </w:rPr>
        <w:t>創作源於山林，循著山水與花木的四時更迭，探索光影與色彩的細微變化</w:t>
      </w:r>
      <w:r>
        <w:rPr>
          <w:rFonts w:ascii="標楷體" w:eastAsia="標楷體" w:hAnsi="標楷體" w:hint="eastAsia"/>
        </w:rPr>
        <w:t>，</w:t>
      </w:r>
      <w:r w:rsidRPr="0047321A">
        <w:rPr>
          <w:rFonts w:ascii="標楷體" w:eastAsia="標楷體" w:hAnsi="標楷體"/>
        </w:rPr>
        <w:t>描繪自然之中靜謐而悠遠的片刻。</w:t>
      </w:r>
    </w:p>
    <w:p w14:paraId="275E7876" w14:textId="77777777" w:rsidR="002368C4" w:rsidRPr="006D7E94" w:rsidRDefault="002368C4" w:rsidP="002368C4">
      <w:pPr>
        <w:jc w:val="both"/>
        <w:rPr>
          <w:rFonts w:ascii="Times New Roman" w:eastAsia="標楷體" w:hAnsi="Times New Roman" w:cs="Times New Roman"/>
        </w:rPr>
      </w:pPr>
      <w:r w:rsidRPr="006D7E94">
        <w:rPr>
          <w:rFonts w:ascii="Times New Roman" w:eastAsia="標楷體" w:hAnsi="Times New Roman" w:cs="Times New Roman"/>
        </w:rPr>
        <w:t>Inspired by the mountains, tracing the seasons through landscapes and blossoms, capturing nature’s subtle shifts in light, color, and stillness.</w:t>
      </w:r>
    </w:p>
    <w:p w14:paraId="6E402041" w14:textId="77777777" w:rsidR="002368C4" w:rsidRPr="00595582" w:rsidRDefault="002368C4" w:rsidP="002368C4">
      <w:pPr>
        <w:jc w:val="both"/>
        <w:rPr>
          <w:rFonts w:ascii="標楷體" w:eastAsia="標楷體" w:hAnsi="標楷體"/>
          <w:bdr w:val="single" w:sz="4" w:space="0" w:color="auto"/>
        </w:rPr>
      </w:pPr>
      <w:r>
        <w:rPr>
          <w:rFonts w:ascii="標楷體" w:eastAsia="標楷體" w:hAnsi="標楷體" w:hint="eastAsia"/>
          <w:bdr w:val="single" w:sz="4" w:space="0" w:color="auto"/>
        </w:rPr>
        <w:t>學經歷</w:t>
      </w:r>
    </w:p>
    <w:p w14:paraId="2D225234" w14:textId="77777777" w:rsidR="002368C4" w:rsidRPr="003317A7" w:rsidRDefault="002368C4" w:rsidP="002368C4">
      <w:pPr>
        <w:jc w:val="both"/>
        <w:rPr>
          <w:rFonts w:ascii="標楷體" w:eastAsia="標楷體" w:hAnsi="標楷體"/>
        </w:rPr>
      </w:pPr>
      <w:r w:rsidRPr="003317A7">
        <w:rPr>
          <w:rFonts w:ascii="標楷體" w:eastAsia="標楷體" w:hAnsi="標楷體"/>
        </w:rPr>
        <w:t>從美</w:t>
      </w:r>
      <w:r>
        <w:rPr>
          <w:rFonts w:ascii="標楷體" w:eastAsia="標楷體" w:hAnsi="標楷體" w:hint="eastAsia"/>
        </w:rPr>
        <w:t>學</w:t>
      </w:r>
      <w:r w:rsidRPr="003317A7">
        <w:rPr>
          <w:rFonts w:ascii="標楷體" w:eastAsia="標楷體" w:hAnsi="標楷體"/>
        </w:rPr>
        <w:t>到哲學，從創作、教學到展覽，在多年的積累與實踐中，持續探索油畫藝術的深度與可能。</w:t>
      </w:r>
    </w:p>
    <w:p w14:paraId="18B860A5" w14:textId="77777777" w:rsidR="002368C4" w:rsidRPr="00BC46BD" w:rsidRDefault="002368C4" w:rsidP="002368C4">
      <w:pPr>
        <w:jc w:val="both"/>
        <w:rPr>
          <w:rFonts w:ascii="Times New Roman" w:eastAsia="標楷體" w:hAnsi="Times New Roman" w:cs="Times New Roman"/>
        </w:rPr>
      </w:pPr>
      <w:r w:rsidRPr="00BC46BD">
        <w:rPr>
          <w:rFonts w:ascii="Times New Roman" w:eastAsia="標楷體" w:hAnsi="Times New Roman" w:cs="Times New Roman"/>
        </w:rPr>
        <w:t>From art to philosophy, from painting and teaching to exhibitions, years of practice continue to deepen his exploration of oil painting.</w:t>
      </w:r>
    </w:p>
    <w:p w14:paraId="746065EA" w14:textId="77777777" w:rsidR="002368C4" w:rsidRDefault="002368C4" w:rsidP="002368C4">
      <w:pPr>
        <w:jc w:val="both"/>
        <w:rPr>
          <w:rFonts w:ascii="標楷體" w:eastAsia="標楷體" w:hAnsi="標楷體"/>
          <w:bdr w:val="single" w:sz="4" w:space="0" w:color="auto"/>
        </w:rPr>
      </w:pPr>
      <w:r w:rsidRPr="00E86569">
        <w:rPr>
          <w:rFonts w:ascii="標楷體" w:eastAsia="標楷體" w:hAnsi="標楷體" w:hint="eastAsia"/>
          <w:bdr w:val="single" w:sz="4" w:space="0" w:color="auto"/>
        </w:rPr>
        <w:t>創作理念</w:t>
      </w:r>
    </w:p>
    <w:p w14:paraId="3132C941" w14:textId="77777777" w:rsidR="002368C4" w:rsidRDefault="002368C4" w:rsidP="002368C4">
      <w:pPr>
        <w:jc w:val="both"/>
        <w:rPr>
          <w:rFonts w:ascii="標楷體" w:eastAsia="標楷體" w:hAnsi="標楷體"/>
        </w:rPr>
      </w:pPr>
      <w:r w:rsidRPr="00460E9D">
        <w:rPr>
          <w:rFonts w:ascii="標楷體" w:eastAsia="標楷體" w:hAnsi="標楷體"/>
        </w:rPr>
        <w:t>以油畫為創作</w:t>
      </w:r>
      <w:r>
        <w:rPr>
          <w:rFonts w:ascii="標楷體" w:eastAsia="標楷體" w:hAnsi="標楷體" w:hint="eastAsia"/>
        </w:rPr>
        <w:t>基礎</w:t>
      </w:r>
      <w:r w:rsidRPr="00460E9D">
        <w:rPr>
          <w:rFonts w:ascii="標楷體" w:eastAsia="標楷體" w:hAnsi="標楷體"/>
        </w:rPr>
        <w:t>，融入哲學的學習與思辨</w:t>
      </w:r>
      <w:r>
        <w:rPr>
          <w:rFonts w:ascii="標楷體" w:eastAsia="標楷體" w:hAnsi="標楷體" w:hint="eastAsia"/>
        </w:rPr>
        <w:t>。作品</w:t>
      </w:r>
      <w:r w:rsidRPr="00460E9D">
        <w:rPr>
          <w:rFonts w:ascii="標楷體" w:eastAsia="標楷體" w:hAnsi="標楷體"/>
        </w:rPr>
        <w:t>不</w:t>
      </w:r>
      <w:r>
        <w:rPr>
          <w:rFonts w:ascii="標楷體" w:eastAsia="標楷體" w:hAnsi="標楷體" w:hint="eastAsia"/>
        </w:rPr>
        <w:t>止</w:t>
      </w:r>
      <w:r w:rsidRPr="00460E9D">
        <w:rPr>
          <w:rFonts w:ascii="標楷體" w:eastAsia="標楷體" w:hAnsi="標楷體"/>
        </w:rPr>
        <w:t>於物象的描繪，</w:t>
      </w:r>
      <w:r w:rsidRPr="000E11A4">
        <w:rPr>
          <w:rFonts w:ascii="標楷體" w:eastAsia="標楷體" w:hAnsi="標楷體"/>
        </w:rPr>
        <w:t>更透過觀察與思考，探尋景物所蘊含的美感與內在意涵。</w:t>
      </w:r>
    </w:p>
    <w:p w14:paraId="045F9736" w14:textId="77777777" w:rsidR="002368C4" w:rsidRPr="00980197" w:rsidRDefault="002368C4" w:rsidP="002368C4">
      <w:pPr>
        <w:jc w:val="both"/>
        <w:rPr>
          <w:rFonts w:ascii="Times New Roman" w:eastAsia="標楷體" w:hAnsi="Times New Roman" w:cs="Times New Roman"/>
        </w:rPr>
      </w:pPr>
      <w:r w:rsidRPr="00980197">
        <w:rPr>
          <w:rFonts w:ascii="Times New Roman" w:eastAsia="標楷體" w:hAnsi="Times New Roman" w:cs="Times New Roman"/>
        </w:rPr>
        <w:t>Rooted in oil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980197">
        <w:rPr>
          <w:rFonts w:ascii="Times New Roman" w:eastAsia="標楷體" w:hAnsi="Times New Roman" w:cs="Times New Roman"/>
        </w:rPr>
        <w:t>painting and philosophy, Shen Tung Jung’s work goes beyond representation, exploring the beauty and meaning within nature.</w:t>
      </w:r>
    </w:p>
    <w:p w14:paraId="6238A8DD" w14:textId="77777777" w:rsidR="002368C4" w:rsidRDefault="002368C4" w:rsidP="002368C4">
      <w:pPr>
        <w:jc w:val="both"/>
        <w:rPr>
          <w:rFonts w:ascii="標楷體" w:eastAsia="標楷體" w:hAnsi="標楷體"/>
          <w:bdr w:val="single" w:sz="4" w:space="0" w:color="auto"/>
        </w:rPr>
      </w:pPr>
      <w:r>
        <w:rPr>
          <w:rFonts w:ascii="標楷體" w:eastAsia="標楷體" w:hAnsi="標楷體" w:hint="eastAsia"/>
          <w:bdr w:val="single" w:sz="4" w:space="0" w:color="auto"/>
        </w:rPr>
        <w:t>作品</w:t>
      </w:r>
    </w:p>
    <w:p w14:paraId="32B3139B" w14:textId="77777777" w:rsidR="002368C4" w:rsidRPr="00F455BC" w:rsidRDefault="002368C4" w:rsidP="002368C4">
      <w:pPr>
        <w:jc w:val="both"/>
        <w:rPr>
          <w:rFonts w:ascii="標楷體" w:eastAsia="標楷體" w:hAnsi="標楷體"/>
        </w:rPr>
      </w:pPr>
      <w:r w:rsidRPr="00F455BC">
        <w:rPr>
          <w:rFonts w:ascii="標楷體" w:eastAsia="標楷體" w:hAnsi="標楷體"/>
        </w:rPr>
        <w:t>以山水與花卉為主要創作題材，從壯闊山景到一隅花木，記錄多年來對自然景物的觀看與描繪。</w:t>
      </w:r>
    </w:p>
    <w:p w14:paraId="1B03FBAD" w14:textId="77777777" w:rsidR="002368C4" w:rsidRPr="006314CA" w:rsidRDefault="002368C4" w:rsidP="002368C4">
      <w:pPr>
        <w:jc w:val="both"/>
        <w:rPr>
          <w:rFonts w:ascii="Times New Roman" w:eastAsia="標楷體" w:hAnsi="Times New Roman" w:cs="Times New Roman"/>
        </w:rPr>
      </w:pPr>
      <w:r w:rsidRPr="006314CA">
        <w:rPr>
          <w:rFonts w:ascii="Times New Roman" w:eastAsia="標楷體" w:hAnsi="Times New Roman" w:cs="Times New Roman"/>
        </w:rPr>
        <w:t>Focusing on landscapes and flowers, his works range from sweeping mountain views to intimate blossoms, reflecting years of observing and portraying nature.</w:t>
      </w:r>
    </w:p>
    <w:p w14:paraId="02DAD193" w14:textId="77777777" w:rsidR="002368C4" w:rsidRPr="006314CA" w:rsidRDefault="002368C4" w:rsidP="002368C4">
      <w:pPr>
        <w:jc w:val="both"/>
        <w:rPr>
          <w:rFonts w:ascii="標楷體" w:eastAsia="標楷體" w:hAnsi="標楷體"/>
        </w:rPr>
      </w:pPr>
    </w:p>
    <w:p w14:paraId="1FA6B0F2" w14:textId="77777777" w:rsidR="002368C4" w:rsidRDefault="002368C4" w:rsidP="002368C4">
      <w:pPr>
        <w:jc w:val="both"/>
        <w:rPr>
          <w:rFonts w:ascii="標楷體" w:eastAsia="標楷體" w:hAnsi="標楷體"/>
          <w:bdr w:val="single" w:sz="4" w:space="0" w:color="auto"/>
        </w:rPr>
      </w:pPr>
      <w:r>
        <w:rPr>
          <w:rFonts w:ascii="標楷體" w:eastAsia="標楷體" w:hAnsi="標楷體" w:hint="eastAsia"/>
          <w:bdr w:val="single" w:sz="4" w:space="0" w:color="auto"/>
        </w:rPr>
        <w:lastRenderedPageBreak/>
        <w:t>展覽資訊</w:t>
      </w:r>
    </w:p>
    <w:p w14:paraId="58DF04C3" w14:textId="77777777" w:rsidR="002368C4" w:rsidRPr="00913296" w:rsidRDefault="002368C4" w:rsidP="002368C4">
      <w:pPr>
        <w:jc w:val="both"/>
        <w:rPr>
          <w:rFonts w:ascii="標楷體" w:eastAsia="標楷體" w:hAnsi="標楷體"/>
        </w:rPr>
      </w:pPr>
      <w:r w:rsidRPr="00913296">
        <w:rPr>
          <w:rFonts w:ascii="標楷體" w:eastAsia="標楷體" w:hAnsi="標楷體"/>
        </w:rPr>
        <w:t>每一場展覽，都是創作歷程</w:t>
      </w:r>
      <w:r>
        <w:rPr>
          <w:rFonts w:ascii="標楷體" w:eastAsia="標楷體" w:hAnsi="標楷體" w:hint="eastAsia"/>
        </w:rPr>
        <w:t>中</w:t>
      </w:r>
      <w:r w:rsidRPr="00913296">
        <w:rPr>
          <w:rFonts w:ascii="標楷體" w:eastAsia="標楷體" w:hAnsi="標楷體"/>
        </w:rPr>
        <w:t>的</w:t>
      </w:r>
      <w:r>
        <w:rPr>
          <w:rFonts w:ascii="標楷體" w:eastAsia="標楷體" w:hAnsi="標楷體" w:hint="eastAsia"/>
        </w:rPr>
        <w:t>對話與交流</w:t>
      </w:r>
      <w:r w:rsidRPr="00913296">
        <w:rPr>
          <w:rFonts w:ascii="標楷體" w:eastAsia="標楷體" w:hAnsi="標楷體"/>
        </w:rPr>
        <w:t>，讓作品走出畫室，在不同的空間裡與觀者相遇。</w:t>
      </w:r>
    </w:p>
    <w:p w14:paraId="7EC69D4E" w14:textId="77777777" w:rsidR="002368C4" w:rsidRPr="003F2758" w:rsidRDefault="002368C4" w:rsidP="002368C4">
      <w:pPr>
        <w:jc w:val="both"/>
        <w:rPr>
          <w:rFonts w:ascii="Times New Roman" w:eastAsia="標楷體" w:hAnsi="Times New Roman" w:cs="Times New Roman"/>
        </w:rPr>
      </w:pPr>
      <w:r w:rsidRPr="003F2758">
        <w:rPr>
          <w:rFonts w:ascii="Times New Roman" w:eastAsia="標楷體" w:hAnsi="Times New Roman" w:cs="Times New Roman"/>
        </w:rPr>
        <w:t>Each exhibition opens a dialogue within the creative journey, bringing the works beyond the studio to meet viewers in different spaces.</w:t>
      </w:r>
    </w:p>
    <w:p w14:paraId="248DABD4" w14:textId="77777777" w:rsidR="002368C4" w:rsidRPr="00203D19" w:rsidRDefault="002368C4" w:rsidP="002368C4">
      <w:pPr>
        <w:jc w:val="both"/>
        <w:rPr>
          <w:rFonts w:ascii="標楷體" w:eastAsia="標楷體" w:hAnsi="標楷體"/>
          <w:bdr w:val="single" w:sz="4" w:space="0" w:color="auto"/>
        </w:rPr>
      </w:pPr>
      <w:r w:rsidRPr="00203D19">
        <w:rPr>
          <w:rFonts w:ascii="標楷體" w:eastAsia="標楷體" w:hAnsi="標楷體" w:hint="eastAsia"/>
          <w:bdr w:val="single" w:sz="4" w:space="0" w:color="auto"/>
        </w:rPr>
        <w:t>油畫教學</w:t>
      </w:r>
    </w:p>
    <w:p w14:paraId="6A05AC78" w14:textId="77777777" w:rsidR="002368C4" w:rsidRDefault="002368C4" w:rsidP="002368C4">
      <w:pPr>
        <w:jc w:val="both"/>
        <w:rPr>
          <w:rFonts w:ascii="標楷體" w:eastAsia="標楷體" w:hAnsi="標楷體"/>
        </w:rPr>
      </w:pPr>
      <w:r w:rsidRPr="00203D19">
        <w:rPr>
          <w:rFonts w:ascii="標楷體" w:eastAsia="標楷體" w:hAnsi="標楷體"/>
        </w:rPr>
        <w:t>從觀察與理解開始，在反覆練習與時間積累中，理解色彩、掌握技法與層次，逐步完成屬於自己的作品。</w:t>
      </w:r>
    </w:p>
    <w:p w14:paraId="76B66A3B" w14:textId="77777777" w:rsidR="002368C4" w:rsidRPr="006E1F03" w:rsidRDefault="002368C4" w:rsidP="002368C4">
      <w:pPr>
        <w:jc w:val="both"/>
        <w:rPr>
          <w:rFonts w:ascii="Times New Roman" w:eastAsia="標楷體" w:hAnsi="Times New Roman" w:cs="Times New Roman"/>
        </w:rPr>
      </w:pPr>
      <w:r w:rsidRPr="006E1F03">
        <w:rPr>
          <w:rFonts w:ascii="Times New Roman" w:eastAsia="標楷體" w:hAnsi="Times New Roman" w:cs="Times New Roman"/>
        </w:rPr>
        <w:t>Beginning with observation and understanding, students develop a sense of color, technique, and depth through practice and time, gradually creating works of their own.</w:t>
      </w:r>
    </w:p>
    <w:p w14:paraId="4F165630" w14:textId="77777777" w:rsidR="002368C4" w:rsidRDefault="002368C4" w:rsidP="002368C4">
      <w:pPr>
        <w:jc w:val="both"/>
        <w:rPr>
          <w:rFonts w:ascii="標楷體" w:eastAsia="標楷體" w:hAnsi="標楷體"/>
          <w:bdr w:val="single" w:sz="4" w:space="0" w:color="auto"/>
        </w:rPr>
      </w:pPr>
      <w:r w:rsidRPr="0089694A">
        <w:rPr>
          <w:rFonts w:ascii="標楷體" w:eastAsia="標楷體" w:hAnsi="標楷體" w:hint="eastAsia"/>
          <w:bdr w:val="single" w:sz="4" w:space="0" w:color="auto"/>
        </w:rPr>
        <w:t>藝評．文章</w:t>
      </w:r>
    </w:p>
    <w:p w14:paraId="26F559EA" w14:textId="77777777" w:rsidR="002368C4" w:rsidRPr="0089694A" w:rsidRDefault="002368C4" w:rsidP="002368C4">
      <w:pPr>
        <w:jc w:val="both"/>
        <w:rPr>
          <w:rFonts w:ascii="標楷體" w:eastAsia="標楷體" w:hAnsi="標楷體"/>
        </w:rPr>
      </w:pPr>
      <w:r w:rsidRPr="0089694A">
        <w:rPr>
          <w:rFonts w:ascii="標楷體" w:eastAsia="標楷體" w:hAnsi="標楷體"/>
        </w:rPr>
        <w:t>匯集不同時期的藝評與論述，從多元視角梳理創作脈絡，延伸對作品形式與思想的理解。</w:t>
      </w:r>
    </w:p>
    <w:p w14:paraId="2D871DC2" w14:textId="77777777" w:rsidR="002368C4" w:rsidRPr="00150EE0" w:rsidRDefault="002368C4" w:rsidP="002368C4">
      <w:pPr>
        <w:jc w:val="both"/>
        <w:rPr>
          <w:rFonts w:ascii="Times New Roman" w:eastAsia="標楷體" w:hAnsi="Times New Roman" w:cs="Times New Roman"/>
        </w:rPr>
      </w:pPr>
      <w:r w:rsidRPr="00150EE0">
        <w:rPr>
          <w:rFonts w:ascii="Times New Roman" w:eastAsia="標楷體" w:hAnsi="Times New Roman" w:cs="Times New Roman"/>
        </w:rPr>
        <w:t>A collection of critiques and essays from different periods, offering diverse perspectives on the artistic journey, form, and ideas behind the works.</w:t>
      </w:r>
    </w:p>
    <w:p w14:paraId="338D5459" w14:textId="77777777" w:rsidR="002368C4" w:rsidRDefault="002368C4" w:rsidP="002368C4">
      <w:pPr>
        <w:jc w:val="both"/>
        <w:rPr>
          <w:rFonts w:ascii="標楷體" w:eastAsia="標楷體" w:hAnsi="標楷體"/>
          <w:bdr w:val="single" w:sz="4" w:space="0" w:color="auto"/>
        </w:rPr>
      </w:pPr>
    </w:p>
    <w:p w14:paraId="4FE9AF00" w14:textId="77777777" w:rsidR="002368C4" w:rsidRDefault="002368C4" w:rsidP="002368C4">
      <w:pPr>
        <w:jc w:val="both"/>
        <w:rPr>
          <w:rFonts w:ascii="標楷體" w:eastAsia="標楷體" w:hAnsi="標楷體"/>
          <w:bdr w:val="single" w:sz="4" w:space="0" w:color="auto"/>
        </w:rPr>
      </w:pPr>
    </w:p>
    <w:p w14:paraId="52EB7694" w14:textId="77777777" w:rsidR="002368C4" w:rsidRDefault="002368C4" w:rsidP="002368C4">
      <w:pPr>
        <w:jc w:val="both"/>
        <w:rPr>
          <w:rFonts w:ascii="標楷體" w:eastAsia="標楷體" w:hAnsi="標楷體"/>
          <w:bdr w:val="single" w:sz="4" w:space="0" w:color="auto"/>
        </w:rPr>
      </w:pPr>
    </w:p>
    <w:p w14:paraId="2E30F4F7" w14:textId="77777777" w:rsidR="002368C4" w:rsidRDefault="002368C4" w:rsidP="002368C4">
      <w:pPr>
        <w:jc w:val="both"/>
        <w:rPr>
          <w:rFonts w:ascii="標楷體" w:eastAsia="標楷體" w:hAnsi="標楷體"/>
        </w:rPr>
      </w:pPr>
    </w:p>
    <w:p w14:paraId="27328278" w14:textId="77777777" w:rsidR="002368C4" w:rsidRDefault="002368C4" w:rsidP="002368C4">
      <w:pPr>
        <w:jc w:val="both"/>
        <w:rPr>
          <w:rFonts w:ascii="標楷體" w:eastAsia="標楷體" w:hAnsi="標楷體"/>
        </w:rPr>
      </w:pPr>
    </w:p>
    <w:p w14:paraId="57C40E28" w14:textId="77777777" w:rsidR="002368C4" w:rsidRDefault="002368C4" w:rsidP="002368C4">
      <w:pPr>
        <w:jc w:val="both"/>
        <w:rPr>
          <w:rFonts w:ascii="標楷體" w:eastAsia="標楷體" w:hAnsi="標楷體"/>
        </w:rPr>
      </w:pPr>
    </w:p>
    <w:p w14:paraId="17600933" w14:textId="77777777" w:rsidR="002368C4" w:rsidRDefault="002368C4" w:rsidP="002368C4">
      <w:pPr>
        <w:jc w:val="both"/>
        <w:rPr>
          <w:rFonts w:ascii="標楷體" w:eastAsia="標楷體" w:hAnsi="標楷體"/>
        </w:rPr>
      </w:pPr>
    </w:p>
    <w:p w14:paraId="5A4D95E2" w14:textId="77777777" w:rsidR="002368C4" w:rsidRDefault="002368C4" w:rsidP="002368C4">
      <w:pPr>
        <w:jc w:val="both"/>
        <w:rPr>
          <w:rFonts w:ascii="標楷體" w:eastAsia="標楷體" w:hAnsi="標楷體"/>
        </w:rPr>
      </w:pPr>
    </w:p>
    <w:p w14:paraId="1B32079A" w14:textId="77777777" w:rsidR="002368C4" w:rsidRDefault="002368C4" w:rsidP="00596BFA">
      <w:pPr>
        <w:jc w:val="both"/>
        <w:rPr>
          <w:rFonts w:ascii="標楷體" w:eastAsia="標楷體" w:hAnsi="標楷體"/>
          <w:bdr w:val="single" w:sz="4" w:space="0" w:color="auto"/>
        </w:rPr>
      </w:pPr>
    </w:p>
    <w:p w14:paraId="4B8DB16A" w14:textId="77777777" w:rsidR="002368C4" w:rsidRDefault="002368C4" w:rsidP="00596BFA">
      <w:pPr>
        <w:jc w:val="both"/>
        <w:rPr>
          <w:rFonts w:ascii="標楷體" w:eastAsia="標楷體" w:hAnsi="標楷體"/>
          <w:bdr w:val="single" w:sz="4" w:space="0" w:color="auto"/>
        </w:rPr>
      </w:pPr>
    </w:p>
    <w:p w14:paraId="35230FB8" w14:textId="77777777" w:rsidR="002368C4" w:rsidRDefault="002368C4" w:rsidP="00596BFA">
      <w:pPr>
        <w:jc w:val="both"/>
        <w:rPr>
          <w:rFonts w:ascii="標楷體" w:eastAsia="標楷體" w:hAnsi="標楷體" w:hint="eastAsia"/>
          <w:bdr w:val="single" w:sz="4" w:space="0" w:color="auto"/>
        </w:rPr>
      </w:pPr>
    </w:p>
    <w:p w14:paraId="742C475F" w14:textId="15E206F8" w:rsidR="00596BFA" w:rsidRPr="00596BFA" w:rsidRDefault="00596BFA" w:rsidP="00596BFA">
      <w:pPr>
        <w:jc w:val="both"/>
        <w:rPr>
          <w:rFonts w:ascii="標楷體" w:eastAsia="標楷體" w:hAnsi="標楷體"/>
          <w:bdr w:val="single" w:sz="4" w:space="0" w:color="auto"/>
        </w:rPr>
      </w:pPr>
      <w:r w:rsidRPr="00596BFA">
        <w:rPr>
          <w:rFonts w:ascii="標楷體" w:eastAsia="標楷體" w:hAnsi="標楷體" w:hint="eastAsia"/>
          <w:bdr w:val="single" w:sz="4" w:space="0" w:color="auto"/>
        </w:rPr>
        <w:lastRenderedPageBreak/>
        <w:t>創作理念 內文</w:t>
      </w:r>
    </w:p>
    <w:p w14:paraId="499EEDE4" w14:textId="3261FCCE" w:rsidR="00596BFA" w:rsidRPr="0035496A" w:rsidRDefault="00596BFA" w:rsidP="00E85369">
      <w:pPr>
        <w:jc w:val="both"/>
        <w:rPr>
          <w:rFonts w:ascii="標楷體" w:eastAsia="標楷體" w:hAnsi="標楷體"/>
        </w:rPr>
      </w:pPr>
      <w:r w:rsidRPr="0035496A">
        <w:rPr>
          <w:rFonts w:ascii="標楷體" w:eastAsia="標楷體" w:hAnsi="標楷體"/>
        </w:rPr>
        <w:t>沈東榮的創作長期以自然景物為主要對象。在美學與哲學的訓練基礎上，對他而言，繪畫並不僅止於物象的描寫，而是在觀看與思考之間，進一步探索物象所帶來的感受與美感。</w:t>
      </w:r>
    </w:p>
    <w:p w14:paraId="71192E13" w14:textId="77777777" w:rsidR="00596BFA" w:rsidRPr="0035496A" w:rsidRDefault="00596BFA" w:rsidP="00E85369">
      <w:pPr>
        <w:jc w:val="both"/>
        <w:rPr>
          <w:rFonts w:ascii="標楷體" w:eastAsia="標楷體" w:hAnsi="標楷體"/>
        </w:rPr>
      </w:pPr>
      <w:r w:rsidRPr="0035496A">
        <w:rPr>
          <w:rFonts w:ascii="標楷體" w:eastAsia="標楷體" w:hAnsi="標楷體"/>
        </w:rPr>
        <w:t>相較於都市景觀與人物，自然景物更能觸發他的創作想像。可能是山林間稍縱即逝的光影、葉片交疊所形成的色彩層次，也可能只是某個平靜而尋常的自然片刻。這些取自現實的景物進入畫面後，不再只是對眼前景象的如實記錄，而是透過色調、光影、筆觸與肌理重新轉化，在具象與想像、虛與實之間，延伸出屬於畫面的氛圍。</w:t>
      </w:r>
    </w:p>
    <w:p w14:paraId="6E097E78" w14:textId="77777777" w:rsidR="00596BFA" w:rsidRPr="0035496A" w:rsidRDefault="00596BFA" w:rsidP="00E85369">
      <w:pPr>
        <w:jc w:val="both"/>
        <w:rPr>
          <w:rFonts w:ascii="標楷體" w:eastAsia="標楷體" w:hAnsi="標楷體"/>
        </w:rPr>
      </w:pPr>
      <w:r w:rsidRPr="0035496A">
        <w:rPr>
          <w:rFonts w:ascii="標楷體" w:eastAsia="標楷體" w:hAnsi="標楷體"/>
        </w:rPr>
        <w:t>「氛圍」也是沈東榮創作中特別重視的一環。無論山林、花卉或果實，畫面中的物象仍保有可辨識的形體，但並不以追求完全寫實為目的。大面積的背景色調、光影變化與物象之間相互牽引，使背景不只是陪襯，而成為建構整體感受的重要部分。</w:t>
      </w:r>
    </w:p>
    <w:p w14:paraId="7D45AD43" w14:textId="77777777" w:rsidR="00596BFA" w:rsidRPr="0035496A" w:rsidRDefault="00596BFA" w:rsidP="00E85369">
      <w:pPr>
        <w:jc w:val="both"/>
        <w:rPr>
          <w:rFonts w:ascii="標楷體" w:eastAsia="標楷體" w:hAnsi="標楷體"/>
        </w:rPr>
      </w:pPr>
      <w:r w:rsidRPr="0035496A">
        <w:rPr>
          <w:rFonts w:ascii="標楷體" w:eastAsia="標楷體" w:hAnsi="標楷體"/>
        </w:rPr>
        <w:t>在長年的油畫實踐中，沈東榮亦持續探索西方油畫與東方水墨之間的可能性。一方面運用古典油畫罩染與層疊的方式，堆疊光影與色彩的深度；另一方面，則將水墨所具有的暈染、墨韻與虛實變化轉化至油彩之中，在油彩的凝重、厚實與水墨的流動、空靈之間尋找平衡。</w:t>
      </w:r>
    </w:p>
    <w:p w14:paraId="7514E44A" w14:textId="77777777" w:rsidR="00596BFA" w:rsidRPr="0035496A" w:rsidRDefault="00596BFA" w:rsidP="00E85369">
      <w:pPr>
        <w:jc w:val="both"/>
        <w:rPr>
          <w:rFonts w:ascii="標楷體" w:eastAsia="標楷體" w:hAnsi="標楷體"/>
        </w:rPr>
      </w:pPr>
      <w:r w:rsidRPr="0035496A">
        <w:rPr>
          <w:rFonts w:ascii="標楷體" w:eastAsia="標楷體" w:hAnsi="標楷體"/>
        </w:rPr>
        <w:t>自2015年前後開始發展的《墨荷系列》，便是這項探索的重要實踐。沈東榮嘗試打破既有荷花題材的表現方式，以油彩重新詮釋水墨的墨色層次與韻味，之後亦延伸出《金荷系列》。而除了山林之外，花影亦是他長期反覆描繪的母題，不同的花卉形態、色彩與背景氛圍，也形成另一條持續發展的創作脈絡。</w:t>
      </w:r>
    </w:p>
    <w:p w14:paraId="3D86DBF3" w14:textId="77777777" w:rsidR="00596BFA" w:rsidRPr="0035496A" w:rsidRDefault="00596BFA" w:rsidP="00E85369">
      <w:pPr>
        <w:jc w:val="both"/>
        <w:rPr>
          <w:rFonts w:ascii="標楷體" w:eastAsia="標楷體" w:hAnsi="標楷體"/>
        </w:rPr>
      </w:pPr>
      <w:r w:rsidRPr="0035496A">
        <w:rPr>
          <w:rFonts w:ascii="標楷體" w:eastAsia="標楷體" w:hAnsi="標楷體"/>
        </w:rPr>
        <w:t>從自然景物出發，卻不止於自然的再現；沈東榮試圖在現實物象、個人感受與繪畫語言之間，尋找屬於自己的觀看方式，使眼前所見轉化為一幅帶有光影、色彩、墨韻與想像的畫面。</w:t>
      </w:r>
    </w:p>
    <w:p w14:paraId="783A660E" w14:textId="77777777" w:rsidR="005179BE" w:rsidRDefault="005179BE" w:rsidP="00596BFA">
      <w:pPr>
        <w:jc w:val="both"/>
      </w:pPr>
    </w:p>
    <w:sectPr w:rsidR="005179B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7F0E2" w14:textId="77777777" w:rsidR="00596BFA" w:rsidRDefault="00596BFA" w:rsidP="00596BFA">
      <w:pPr>
        <w:spacing w:after="0" w:line="240" w:lineRule="auto"/>
      </w:pPr>
      <w:r>
        <w:separator/>
      </w:r>
    </w:p>
  </w:endnote>
  <w:endnote w:type="continuationSeparator" w:id="0">
    <w:p w14:paraId="73432FA1" w14:textId="77777777" w:rsidR="00596BFA" w:rsidRDefault="00596BFA" w:rsidP="00596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621D6" w14:textId="77777777" w:rsidR="00596BFA" w:rsidRDefault="00596BFA" w:rsidP="00596BFA">
      <w:pPr>
        <w:spacing w:after="0" w:line="240" w:lineRule="auto"/>
      </w:pPr>
      <w:r>
        <w:separator/>
      </w:r>
    </w:p>
  </w:footnote>
  <w:footnote w:type="continuationSeparator" w:id="0">
    <w:p w14:paraId="5C8F808E" w14:textId="77777777" w:rsidR="00596BFA" w:rsidRDefault="00596BFA" w:rsidP="00596B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863"/>
    <w:rsid w:val="002368C4"/>
    <w:rsid w:val="002D14CF"/>
    <w:rsid w:val="005179BE"/>
    <w:rsid w:val="00596BFA"/>
    <w:rsid w:val="00694863"/>
    <w:rsid w:val="00A7011F"/>
    <w:rsid w:val="00E8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A7994"/>
  <w15:chartTrackingRefBased/>
  <w15:docId w15:val="{8EE95CA5-F147-4E79-B47C-4CBBC12EB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BF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48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4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86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86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86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86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86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86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948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94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9486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94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9486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486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9486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9486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948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48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94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48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948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4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948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48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48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4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948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486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96B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96BF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96B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96BF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柔荷 張</dc:creator>
  <cp:keywords/>
  <dc:description/>
  <cp:lastModifiedBy>柔荷 張</cp:lastModifiedBy>
  <cp:revision>4</cp:revision>
  <dcterms:created xsi:type="dcterms:W3CDTF">2026-09-20T07:39:00Z</dcterms:created>
  <dcterms:modified xsi:type="dcterms:W3CDTF">2026-09-20T07:41:00Z</dcterms:modified>
</cp:coreProperties>
</file>