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47" w:lineRule="auto"/>
        <w:jc w:val="center"/>
        <w:bidi w:val="1"/>
      </w:pPr>
      <w:r>
        <w:rPr>
          <w:rFonts w:ascii="Noto Sans Arabic" w:hAnsi="Noto Sans Arabic" w:eastAsia="Noto Sans Arabic"/>
          <w:b/>
          <w:sz w:val="44"/>
        </w:rPr>
        <w:t>GSOS-APP-003</w:t>
      </w:r>
    </w:p>
    <w:p>
      <w:pPr>
        <w:spacing w:before="0" w:after="160" w:line="247" w:lineRule="auto"/>
        <w:jc w:val="center"/>
        <w:bidi w:val="1"/>
      </w:pPr>
      <w:r>
        <w:rPr>
          <w:rFonts w:ascii="Noto Sans Arabic" w:hAnsi="Noto Sans Arabic" w:eastAsia="Noto Sans Arabic"/>
          <w:b/>
          <w:sz w:val="32"/>
        </w:rPr>
        <w:t>دراسة Nokia العميقة وإعادة اختبار المختبر النموذجي</w:t>
      </w:r>
    </w:p>
    <w:p>
      <w:pPr>
        <w:spacing w:before="0" w:after="240" w:line="247" w:lineRule="auto"/>
        <w:jc w:val="center"/>
        <w:bidi w:val="1"/>
      </w:pPr>
      <w:r>
        <w:rPr>
          <w:rFonts w:ascii="Noto Sans Arabic" w:hAnsi="Noto Sans Arabic" w:eastAsia="Noto Sans Arabic"/>
          <w:b w:val="0"/>
          <w:sz w:val="22"/>
        </w:rPr>
        <w:t>ملحق أكاديمي وتقني - مراجعة منضبطة للمصدر، نقد الدليل، إعادة بناء التحول، وتصميم اختبار تنبؤي قابل للتكذيب</w:t>
      </w:r>
    </w:p>
    <w:p>
      <w:pPr>
        <w:spacing w:before="0" w:after="120" w:line="247" w:lineRule="auto"/>
        <w:jc w:val="center"/>
        <w:bidi w:val="1"/>
      </w:pPr>
      <w:r>
        <w:rPr>
          <w:rFonts w:ascii="Noto Sans Arabic" w:hAnsi="Noto Sans Arabic" w:eastAsia="Noto Sans Arabic"/>
          <w:b/>
          <w:sz w:val="20"/>
        </w:rPr>
        <w:t>Document-ID: GSOS-APP-003 | Revision: 1.0 | Date: 2026-09-05</w:t>
      </w:r>
    </w:p>
    <w:p>
      <w:pPr>
        <w:spacing w:before="0" w:after="200" w:line="247" w:lineRule="auto"/>
        <w:jc w:val="center"/>
        <w:bidi w:val="1"/>
      </w:pPr>
      <w:r>
        <w:rPr>
          <w:rFonts w:ascii="Noto Sans Arabic" w:hAnsi="Noto Sans Arabic" w:eastAsia="Noto Sans Arabic"/>
          <w:b/>
          <w:sz w:val="21"/>
        </w:rPr>
        <w:t>الحالة: COMMITTEE-READY / RESEARCH ENHANCEMENT</w:t>
      </w:r>
    </w:p>
    <w:p>
      <w:pPr>
        <w:spacing w:before="0" w:after="200" w:line="247" w:lineRule="auto"/>
        <w:jc w:val="center"/>
        <w:bidi w:val="1"/>
      </w:pPr>
      <w:r>
        <w:rPr>
          <w:rFonts w:ascii="Noto Sans Arabic" w:hAnsi="Noto Sans Arabic" w:eastAsia="Noto Sans Arabic"/>
          <w:b w:val="0"/>
          <w:sz w:val="20"/>
        </w:rPr>
        <w:t>المصادر الأساسية: ملف مختبر Nokia السابق + ملف Nokia البحثي 50 صفحة + مصادر Nokia الرسمية وSEC وMicrosoft التي استُعملت للتحقق من الوقائع الحساسة.</w:t>
      </w:r>
    </w:p>
    <w:p>
      <w:pPr>
        <w:spacing w:before="0" w:after="200" w:line="247" w:lineRule="auto"/>
        <w:jc w:val="center"/>
        <w:bidi w:val="1"/>
      </w:pPr>
      <w:r>
        <w:rPr>
          <w:rFonts w:ascii="Noto Sans Arabic" w:hAnsi="Noto Sans Arabic" w:eastAsia="Noto Sans Arabic"/>
          <w:b w:val="0"/>
          <w:sz w:val="20"/>
        </w:rPr>
        <w:t>مبدأ النشر: إعلان كل ما يلزم للتدقيق، وحجب فقط ما يقع تحت السرية أو الخصوصية أو الأمن، وعدم إخفاء النتيجة السلبية أو قيد المنهج.</w:t>
      </w:r>
    </w:p>
    <w:p>
      <w:pPr>
        <w:spacing w:before="0" w:after="400" w:line="247" w:lineRule="auto"/>
        <w:jc w:val="center"/>
        <w:bidi w:val="1"/>
      </w:pPr>
      <w:r>
        <w:rPr>
          <w:rFonts w:ascii="Noto Sans Arabic" w:hAnsi="Noto Sans Arabic" w:eastAsia="Noto Sans Arabic"/>
          <w:b/>
          <w:sz w:val="21"/>
        </w:rPr>
        <w:t>لا يثبت هذا الملحق أن GSOS نظام تنبؤ عام؛ إنه يرفع جودة التجربة ويحدد كيف يمكن إثبات ذلك لاحقاً.</w:t>
      </w:r>
    </w:p>
    <w:p>
      <w:pPr>
        <w:spacing w:before="20" w:after="0"/>
        <w:jc w:val="center"/>
      </w:pPr>
      <w:r>
        <w:rPr>
          <w:rFonts w:ascii="Noto Sans Arabic" w:hAnsi="Noto Sans Arabic" w:eastAsia="Noto Sans Arabic"/>
          <w:b/>
          <w:sz w:val="16"/>
        </w:rPr>
        <w:t>GSOS-APP-003 | صفحة 01 / 50 | 2026-09-05</w:t>
      </w:r>
    </w:p>
    <w:p>
      <w:r>
        <w:br w:type="page"/>
      </w:r>
    </w:p>
    <w:p>
      <w:pPr>
        <w:spacing w:before="0" w:after="20" w:line="247" w:lineRule="auto"/>
        <w:jc w:val="right"/>
        <w:bidi w:val="1"/>
      </w:pPr>
      <w:r>
        <w:rPr>
          <w:rFonts w:ascii="Noto Sans Arabic" w:hAnsi="Noto Sans Arabic" w:eastAsia="Noto Sans Arabic"/>
          <w:b/>
          <w:sz w:val="29"/>
        </w:rPr>
        <w:t>الصفحة 2 - سؤال الدراسة</w:t>
      </w:r>
    </w:p>
    <w:p>
      <w:pPr>
        <w:spacing w:before="0" w:after="80" w:line="247" w:lineRule="auto"/>
        <w:jc w:val="right"/>
        <w:bidi w:val="1"/>
      </w:pPr>
      <w:r>
        <w:rPr>
          <w:rFonts w:ascii="Noto Sans Arabic" w:hAnsi="Noto Sans Arabic" w:eastAsia="Noto Sans Arabic"/>
          <w:b/>
          <w:sz w:val="20"/>
        </w:rPr>
        <w:t>من ماذا نريد أن نعرف عن Nokia؟</w:t>
      </w:r>
    </w:p>
    <w:p>
      <w:pPr>
        <w:spacing w:before="0" w:after="80" w:line="247" w:lineRule="auto"/>
        <w:jc w:val="right"/>
        <w:bidi w:val="1"/>
      </w:pPr>
      <w:r>
        <w:rPr>
          <w:rFonts w:ascii="Noto Sans Arabic" w:hAnsi="Noto Sans Arabic" w:eastAsia="Noto Sans Arabic"/>
          <w:b w:val="0"/>
          <w:sz w:val="19"/>
        </w:rPr>
        <w:t>السؤال ليس: هل تستطيع GSOS أن تقول إن Nokia ستنجح أو تفشل؟ بل: هل تستطيع GSOS أن تستخرج إشارات مبكرة من سجل موثق، وتفصل بين الخبر والاتجاه والاستنتاج، ثم تنتج فرضية قابلة للتكذيب قبل ظهور النتيجة؟</w:t>
      </w:r>
    </w:p>
    <w:p>
      <w:pPr>
        <w:pStyle w:val="ListBullet"/>
        <w:spacing w:after="24" w:line="240" w:lineRule="auto"/>
        <w:ind w:left="288" w:right="144"/>
        <w:jc w:val="right"/>
        <w:bidi w:val="1"/>
      </w:pPr>
      <w:r>
        <w:rPr>
          <w:rFonts w:ascii="Noto Sans Arabic" w:hAnsi="Noto Sans Arabic" w:eastAsia="Noto Sans Arabic"/>
          <w:sz w:val="18"/>
        </w:rPr>
        <w:t>القراءة: استخراج الوقائع.</w:t>
      </w:r>
    </w:p>
    <w:p>
      <w:pPr>
        <w:pStyle w:val="ListBullet"/>
        <w:spacing w:after="24" w:line="240" w:lineRule="auto"/>
        <w:ind w:left="288" w:right="144"/>
        <w:jc w:val="right"/>
        <w:bidi w:val="1"/>
      </w:pPr>
      <w:r>
        <w:rPr>
          <w:rFonts w:ascii="Noto Sans Arabic" w:hAnsi="Noto Sans Arabic" w:eastAsia="Noto Sans Arabic"/>
          <w:sz w:val="18"/>
        </w:rPr>
        <w:t>التحليل: ربط الوقائع بمسارات التحول.</w:t>
      </w:r>
    </w:p>
    <w:p>
      <w:pPr>
        <w:pStyle w:val="ListBullet"/>
        <w:spacing w:after="24" w:line="240" w:lineRule="auto"/>
        <w:ind w:left="288" w:right="144"/>
        <w:jc w:val="right"/>
        <w:bidi w:val="1"/>
      </w:pPr>
      <w:r>
        <w:rPr>
          <w:rFonts w:ascii="Noto Sans Arabic" w:hAnsi="Noto Sans Arabic" w:eastAsia="Noto Sans Arabic"/>
          <w:sz w:val="18"/>
        </w:rPr>
        <w:t>التنبؤ: اتجاه/احتمال/أفق زمني محدد.</w:t>
      </w:r>
    </w:p>
    <w:p>
      <w:pPr>
        <w:pStyle w:val="ListBullet"/>
        <w:spacing w:after="24" w:line="240" w:lineRule="auto"/>
        <w:ind w:left="288" w:right="144"/>
        <w:jc w:val="right"/>
        <w:bidi w:val="1"/>
      </w:pPr>
      <w:r>
        <w:rPr>
          <w:rFonts w:ascii="Noto Sans Arabic" w:hAnsi="Noto Sans Arabic" w:eastAsia="Noto Sans Arabic"/>
          <w:sz w:val="18"/>
        </w:rPr>
        <w:t>التقييم: مقارنة التنبؤ بقاعدة معلنة قبل reveal.</w:t>
      </w:r>
    </w:p>
    <w:p>
      <w:pPr>
        <w:spacing w:before="40" w:after="60"/>
        <w:jc w:val="left"/>
        <w:bidi w:val="0"/>
      </w:pPr>
      <w:r>
        <w:rPr>
          <w:rFonts w:ascii="Aptos" w:hAnsi="Aptos"/>
          <w:i/>
          <w:sz w:val="14"/>
        </w:rPr>
        <w:t>Sources / provenance: M1 p1 + M2 pp1-3</w:t>
      </w:r>
    </w:p>
    <w:p>
      <w:pPr>
        <w:spacing w:before="20" w:after="0"/>
        <w:jc w:val="center"/>
      </w:pPr>
      <w:r>
        <w:rPr>
          <w:rFonts w:ascii="Noto Sans Arabic" w:hAnsi="Noto Sans Arabic" w:eastAsia="Noto Sans Arabic"/>
          <w:b/>
          <w:sz w:val="16"/>
        </w:rPr>
        <w:t>GSOS-APP-003 | صفحة 02 / 50 | 2026-09-05</w:t>
      </w:r>
    </w:p>
    <w:p>
      <w:r>
        <w:br w:type="page"/>
      </w:r>
    </w:p>
    <w:p>
      <w:pPr>
        <w:spacing w:before="0" w:after="20" w:line="247" w:lineRule="auto"/>
        <w:jc w:val="right"/>
        <w:bidi w:val="1"/>
      </w:pPr>
      <w:r>
        <w:rPr>
          <w:rFonts w:ascii="Noto Sans Arabic" w:hAnsi="Noto Sans Arabic" w:eastAsia="Noto Sans Arabic"/>
          <w:b/>
          <w:sz w:val="29"/>
        </w:rPr>
        <w:t>الصفحة 3 - حدود الدراسة</w:t>
      </w:r>
    </w:p>
    <w:p>
      <w:pPr>
        <w:spacing w:before="0" w:after="80" w:line="247" w:lineRule="auto"/>
        <w:jc w:val="right"/>
        <w:bidi w:val="1"/>
      </w:pPr>
      <w:r>
        <w:rPr>
          <w:rFonts w:ascii="Noto Sans Arabic" w:hAnsi="Noto Sans Arabic" w:eastAsia="Noto Sans Arabic"/>
          <w:b/>
          <w:sz w:val="20"/>
        </w:rPr>
        <w:t>ما نعلن وما نحجب</w:t>
      </w:r>
    </w:p>
    <w:p>
      <w:pPr>
        <w:spacing w:before="0" w:after="80" w:line="247" w:lineRule="auto"/>
        <w:jc w:val="right"/>
        <w:bidi w:val="1"/>
      </w:pPr>
      <w:r>
        <w:rPr>
          <w:rFonts w:ascii="Noto Sans Arabic" w:hAnsi="Noto Sans Arabic" w:eastAsia="Noto Sans Arabic"/>
          <w:b w:val="0"/>
          <w:sz w:val="19"/>
        </w:rPr>
        <w:t>الإخفاء المقبول في المختبر هو حجب المعلومات السرية أو الشخصية أو الأمنية غير المصرح بها. أما البيانات التي تلزم لتقييم الفرضية فلا يجوز إخفاؤها بعدياً لأنها تؤثر في صلاحية الاختبار. لذلك يعتمد الملحق على بيانات عامة ومجمعة فقط، ويمنع كشف أي credentials أو بيانات داخلية أو مواقع بنية حرجة غير معلنة.</w:t>
      </w:r>
    </w:p>
    <w:p>
      <w:pPr>
        <w:pStyle w:val="ListBullet"/>
        <w:spacing w:after="24" w:line="240" w:lineRule="auto"/>
        <w:ind w:left="288" w:right="144"/>
        <w:jc w:val="right"/>
        <w:bidi w:val="1"/>
      </w:pPr>
      <w:r>
        <w:rPr>
          <w:rFonts w:ascii="Noto Sans Arabic" w:hAnsi="Noto Sans Arabic" w:eastAsia="Noto Sans Arabic"/>
          <w:sz w:val="18"/>
        </w:rPr>
        <w:t>معلن: الأرقام المنشورة، التواريخ، المعاملات، مؤشرات الأعمال.</w:t>
      </w:r>
    </w:p>
    <w:p>
      <w:pPr>
        <w:pStyle w:val="ListBullet"/>
        <w:spacing w:after="24" w:line="240" w:lineRule="auto"/>
        <w:ind w:left="288" w:right="144"/>
        <w:jc w:val="right"/>
        <w:bidi w:val="1"/>
      </w:pPr>
      <w:r>
        <w:rPr>
          <w:rFonts w:ascii="Noto Sans Arabic" w:hAnsi="Noto Sans Arabic" w:eastAsia="Noto Sans Arabic"/>
          <w:sz w:val="18"/>
        </w:rPr>
        <w:t>محجوب: أي بيانات سرية/شخصية/أمنية غير عامة.</w:t>
      </w:r>
    </w:p>
    <w:p>
      <w:pPr>
        <w:pStyle w:val="ListBullet"/>
        <w:spacing w:after="24" w:line="240" w:lineRule="auto"/>
        <w:ind w:left="288" w:right="144"/>
        <w:jc w:val="right"/>
        <w:bidi w:val="1"/>
      </w:pPr>
      <w:r>
        <w:rPr>
          <w:rFonts w:ascii="Noto Sans Arabic" w:hAnsi="Noto Sans Arabic" w:eastAsia="Noto Sans Arabic"/>
          <w:sz w:val="18"/>
        </w:rPr>
        <w:t>غير مسموح: تعديل الحقيقة المنشورة لإرضاء الفرضية.</w:t>
      </w:r>
    </w:p>
    <w:p>
      <w:pPr>
        <w:spacing w:before="40" w:after="60"/>
        <w:jc w:val="left"/>
        <w:bidi w:val="0"/>
      </w:pPr>
      <w:r>
        <w:rPr>
          <w:rFonts w:ascii="Aptos" w:hAnsi="Aptos"/>
          <w:i/>
          <w:sz w:val="14"/>
        </w:rPr>
        <w:t>Sources / provenance: M1 p3 + M2 p37-39 + protocol principles</w:t>
      </w:r>
    </w:p>
    <w:p>
      <w:pPr>
        <w:spacing w:before="20" w:after="0"/>
        <w:jc w:val="center"/>
      </w:pPr>
      <w:r>
        <w:rPr>
          <w:rFonts w:ascii="Noto Sans Arabic" w:hAnsi="Noto Sans Arabic" w:eastAsia="Noto Sans Arabic"/>
          <w:b/>
          <w:sz w:val="16"/>
        </w:rPr>
        <w:t>GSOS-APP-003 | صفحة 03 / 50 | 2026-09-05</w:t>
      </w:r>
    </w:p>
    <w:p>
      <w:r>
        <w:br w:type="page"/>
      </w:r>
    </w:p>
    <w:p>
      <w:pPr>
        <w:spacing w:before="0" w:after="20" w:line="247" w:lineRule="auto"/>
        <w:jc w:val="right"/>
        <w:bidi w:val="1"/>
      </w:pPr>
      <w:r>
        <w:rPr>
          <w:rFonts w:ascii="Noto Sans Arabic" w:hAnsi="Noto Sans Arabic" w:eastAsia="Noto Sans Arabic"/>
          <w:b/>
          <w:sz w:val="29"/>
        </w:rPr>
        <w:t>الصفحة 4 - مصدر البحث</w:t>
      </w:r>
    </w:p>
    <w:p>
      <w:pPr>
        <w:spacing w:before="0" w:after="80" w:line="247" w:lineRule="auto"/>
        <w:jc w:val="right"/>
        <w:bidi w:val="1"/>
      </w:pPr>
      <w:r>
        <w:rPr>
          <w:rFonts w:ascii="Noto Sans Arabic" w:hAnsi="Noto Sans Arabic" w:eastAsia="Noto Sans Arabic"/>
          <w:b/>
          <w:sz w:val="20"/>
        </w:rPr>
        <w:t>ملف Nokia المرفوع + مصادر التحقق</w:t>
      </w:r>
    </w:p>
    <w:p>
      <w:pPr>
        <w:spacing w:before="0" w:after="80" w:line="247" w:lineRule="auto"/>
        <w:jc w:val="right"/>
        <w:bidi w:val="1"/>
      </w:pPr>
      <w:r>
        <w:rPr>
          <w:rFonts w:ascii="Noto Sans Arabic" w:hAnsi="Noto Sans Arabic" w:eastAsia="Noto Sans Arabic"/>
          <w:b w:val="0"/>
          <w:sz w:val="19"/>
        </w:rPr>
        <w:t>المادة المرفوعة تتكون من ملحق مختبر GSOS سابق وملحق بحث Nokia من 50 صفحة. تم استعمالهما كنقطة انطلاق، ثم تم التحقق من الوقائع الحساسة بأحدث صفحات Nokia الرسمية وSEC عند الحاجة. عندما تختلف طبقة الوصف عن رقم محاسبي أو معلومة منشورة، يحتفظ البحث بمصدرها ولا يسوي الفرق بصمت.</w:t>
      </w:r>
    </w:p>
    <w:tbl>
      <w:tblPr>
        <w:tblStyle w:val="TableGrid"/>
        <w:tblW w:type="auto" w:w="0"/>
        <w:jc w:val="center"/>
        <w:tblLook w:firstColumn="1" w:firstRow="1" w:lastColumn="0" w:lastRow="0" w:noHBand="0" w:noVBand="1" w:val="04A0"/>
      </w:tblPr>
      <w:tblGrid>
        <w:gridCol w:w="3504"/>
        <w:gridCol w:w="3504"/>
        <w:gridCol w:w="3504"/>
      </w:tblGrid>
      <w:tr>
        <w:tc>
          <w:tcPr>
            <w:tcW w:type="dxa" w:w="3504"/>
            <w:shd w:fill="D9E2F3"/>
            <w:vAlign w:val="center"/>
          </w:tcPr>
          <w:p>
            <w:pPr>
              <w:jc w:val="center"/>
            </w:pPr>
            <w:r/>
            <w:r>
              <w:rPr>
                <w:rFonts w:ascii="Noto Sans Arabic" w:hAnsi="Noto Sans Arabic" w:eastAsia="Noto Sans Arabic"/>
                <w:b/>
                <w:sz w:val="16"/>
              </w:rPr>
              <w:t>الطبقة</w:t>
            </w:r>
          </w:p>
        </w:tc>
        <w:tc>
          <w:tcPr>
            <w:tcW w:type="dxa" w:w="3504"/>
            <w:shd w:fill="D9E2F3"/>
            <w:vAlign w:val="center"/>
          </w:tcPr>
          <w:p>
            <w:pPr>
              <w:jc w:val="center"/>
            </w:pPr>
            <w:r/>
            <w:r>
              <w:rPr>
                <w:rFonts w:ascii="Noto Sans Arabic" w:hAnsi="Noto Sans Arabic" w:eastAsia="Noto Sans Arabic"/>
                <w:b/>
                <w:sz w:val="16"/>
              </w:rPr>
              <w:t>المصدر</w:t>
            </w:r>
          </w:p>
        </w:tc>
        <w:tc>
          <w:tcPr>
            <w:tcW w:type="dxa" w:w="3504"/>
            <w:shd w:fill="D9E2F3"/>
            <w:vAlign w:val="center"/>
          </w:tcPr>
          <w:p>
            <w:pPr>
              <w:jc w:val="center"/>
            </w:pPr>
            <w:r/>
            <w:r>
              <w:rPr>
                <w:rFonts w:ascii="Noto Sans Arabic" w:hAnsi="Noto Sans Arabic" w:eastAsia="Noto Sans Arabic"/>
                <w:b/>
                <w:sz w:val="16"/>
              </w:rPr>
              <w:t>وظيفته</w:t>
            </w:r>
          </w:p>
        </w:tc>
        <w:trPr>
          <w:tblHeader/>
        </w:trPr>
      </w:tr>
      <w:tr>
        <w:tc>
          <w:tcPr>
            <w:tcW w:type="dxa" w:w="3504"/>
          </w:tcPr>
          <w:p>
            <w:pPr>
              <w:jc w:val="center"/>
            </w:pPr>
            <w:r/>
            <w:r>
              <w:rPr>
                <w:rFonts w:ascii="Noto Sans Arabic" w:hAnsi="Noto Sans Arabic" w:eastAsia="Noto Sans Arabic"/>
                <w:sz w:val="16"/>
              </w:rPr>
              <w:t>M1</w:t>
            </w:r>
          </w:p>
        </w:tc>
        <w:tc>
          <w:tcPr>
            <w:tcW w:type="dxa" w:w="3504"/>
          </w:tcPr>
          <w:p>
            <w:pPr>
              <w:jc w:val="center"/>
            </w:pPr>
            <w:r/>
            <w:r>
              <w:rPr>
                <w:rFonts w:ascii="Noto Sans Arabic" w:hAnsi="Noto Sans Arabic" w:eastAsia="Noto Sans Arabic"/>
                <w:sz w:val="16"/>
              </w:rPr>
              <w:t>GSOS_Nokia_Lab_Appendix(1).docx</w:t>
            </w:r>
          </w:p>
        </w:tc>
        <w:tc>
          <w:tcPr>
            <w:tcW w:type="dxa" w:w="3504"/>
          </w:tcPr>
          <w:p>
            <w:pPr>
              <w:jc w:val="center"/>
            </w:pPr>
            <w:r/>
            <w:r>
              <w:rPr>
                <w:rFonts w:ascii="Noto Sans Arabic" w:hAnsi="Noto Sans Arabic" w:eastAsia="Noto Sans Arabic"/>
                <w:sz w:val="16"/>
              </w:rPr>
              <w:t>إجراءات المختبر وقيوده السابقة</w:t>
            </w:r>
          </w:p>
        </w:tc>
      </w:tr>
      <w:tr>
        <w:tc>
          <w:tcPr>
            <w:tcW w:type="dxa" w:w="3504"/>
          </w:tcPr>
          <w:p>
            <w:pPr>
              <w:jc w:val="center"/>
            </w:pPr>
            <w:r/>
            <w:r>
              <w:rPr>
                <w:rFonts w:ascii="Noto Sans Arabic" w:hAnsi="Noto Sans Arabic" w:eastAsia="Noto Sans Arabic"/>
                <w:sz w:val="16"/>
              </w:rPr>
              <w:t>M2</w:t>
            </w:r>
          </w:p>
        </w:tc>
        <w:tc>
          <w:tcPr>
            <w:tcW w:type="dxa" w:w="3504"/>
          </w:tcPr>
          <w:p>
            <w:pPr>
              <w:jc w:val="center"/>
            </w:pPr>
            <w:r/>
            <w:r>
              <w:rPr>
                <w:rFonts w:ascii="Noto Sans Arabic" w:hAnsi="Noto Sans Arabic" w:eastAsia="Noto Sans Arabic"/>
                <w:sz w:val="16"/>
              </w:rPr>
              <w:t>Nokia_Research_Data_Appendix(4).pdf</w:t>
            </w:r>
          </w:p>
        </w:tc>
        <w:tc>
          <w:tcPr>
            <w:tcW w:type="dxa" w:w="3504"/>
          </w:tcPr>
          <w:p>
            <w:pPr>
              <w:jc w:val="center"/>
            </w:pPr>
            <w:r/>
            <w:r>
              <w:rPr>
                <w:rFonts w:ascii="Noto Sans Arabic" w:hAnsi="Noto Sans Arabic" w:eastAsia="Noto Sans Arabic"/>
                <w:sz w:val="16"/>
              </w:rPr>
              <w:t>التسلسل التاريخي والأرقام المختارة</w:t>
            </w:r>
          </w:p>
        </w:tc>
      </w:tr>
      <w:tr>
        <w:tc>
          <w:tcPr>
            <w:tcW w:type="dxa" w:w="3504"/>
          </w:tcPr>
          <w:p>
            <w:pPr>
              <w:jc w:val="center"/>
            </w:pPr>
            <w:r/>
            <w:r>
              <w:rPr>
                <w:rFonts w:ascii="Noto Sans Arabic" w:hAnsi="Noto Sans Arabic" w:eastAsia="Noto Sans Arabic"/>
                <w:sz w:val="16"/>
              </w:rPr>
              <w:t>N1-N17</w:t>
            </w:r>
          </w:p>
        </w:tc>
        <w:tc>
          <w:tcPr>
            <w:tcW w:type="dxa" w:w="3504"/>
          </w:tcPr>
          <w:p>
            <w:pPr>
              <w:jc w:val="center"/>
            </w:pPr>
            <w:r/>
            <w:r>
              <w:rPr>
                <w:rFonts w:ascii="Noto Sans Arabic" w:hAnsi="Noto Sans Arabic" w:eastAsia="Noto Sans Arabic"/>
                <w:sz w:val="16"/>
              </w:rPr>
              <w:t>Nokia/SEC/Microsoft</w:t>
            </w:r>
          </w:p>
        </w:tc>
        <w:tc>
          <w:tcPr>
            <w:tcW w:type="dxa" w:w="3504"/>
          </w:tcPr>
          <w:p>
            <w:pPr>
              <w:jc w:val="center"/>
            </w:pPr>
            <w:r/>
            <w:r>
              <w:rPr>
                <w:rFonts w:ascii="Noto Sans Arabic" w:hAnsi="Noto Sans Arabic" w:eastAsia="Noto Sans Arabic"/>
                <w:sz w:val="16"/>
              </w:rPr>
              <w:t>تدقيق الوقائع وتعزيز provenance</w:t>
            </w:r>
          </w:p>
        </w:tc>
      </w:tr>
    </w:tbl>
    <w:p>
      <w:pPr>
        <w:spacing w:after="20"/>
      </w:pPr>
    </w:p>
    <w:p>
      <w:pPr>
        <w:spacing w:before="40" w:after="60"/>
        <w:jc w:val="left"/>
        <w:bidi w:val="0"/>
      </w:pPr>
      <w:r>
        <w:rPr>
          <w:rFonts w:ascii="Aptos" w:hAnsi="Aptos"/>
          <w:i/>
          <w:sz w:val="14"/>
        </w:rPr>
        <w:t>Sources / provenance: M1 + M2 + N1-N17</w:t>
      </w:r>
    </w:p>
    <w:p>
      <w:pPr>
        <w:spacing w:before="20" w:after="0"/>
        <w:jc w:val="center"/>
      </w:pPr>
      <w:r>
        <w:rPr>
          <w:rFonts w:ascii="Noto Sans Arabic" w:hAnsi="Noto Sans Arabic" w:eastAsia="Noto Sans Arabic"/>
          <w:b/>
          <w:sz w:val="16"/>
        </w:rPr>
        <w:t>GSOS-APP-003 | صفحة 04 / 50 | 2026-09-05</w:t>
      </w:r>
    </w:p>
    <w:p>
      <w:r>
        <w:br w:type="page"/>
      </w:r>
    </w:p>
    <w:p>
      <w:pPr>
        <w:spacing w:before="0" w:after="20" w:line="247" w:lineRule="auto"/>
        <w:jc w:val="right"/>
        <w:bidi w:val="1"/>
      </w:pPr>
      <w:r>
        <w:rPr>
          <w:rFonts w:ascii="Noto Sans Arabic" w:hAnsi="Noto Sans Arabic" w:eastAsia="Noto Sans Arabic"/>
          <w:b/>
          <w:sz w:val="29"/>
        </w:rPr>
        <w:t>الصفحة 5 - منهج نقد المصدر</w:t>
      </w:r>
    </w:p>
    <w:p>
      <w:pPr>
        <w:spacing w:before="0" w:after="80" w:line="247" w:lineRule="auto"/>
        <w:jc w:val="right"/>
        <w:bidi w:val="1"/>
      </w:pPr>
      <w:r>
        <w:rPr>
          <w:rFonts w:ascii="Noto Sans Arabic" w:hAnsi="Noto Sans Arabic" w:eastAsia="Noto Sans Arabic"/>
          <w:b/>
          <w:sz w:val="20"/>
        </w:rPr>
        <w:t>لماذا لا يكفي مصدر واحد؟</w:t>
      </w:r>
    </w:p>
    <w:p>
      <w:pPr>
        <w:spacing w:before="0" w:after="80" w:line="247" w:lineRule="auto"/>
        <w:jc w:val="right"/>
        <w:bidi w:val="1"/>
      </w:pPr>
      <w:r>
        <w:rPr>
          <w:rFonts w:ascii="Noto Sans Arabic" w:hAnsi="Noto Sans Arabic" w:eastAsia="Noto Sans Arabic"/>
          <w:b w:val="0"/>
          <w:sz w:val="19"/>
        </w:rPr>
        <w:t>كل رقم له ثلاثة أسئلة: من نشره؟ متى؟ وبأي تعريف؟ التقرير السنوي قد يكون المصدر الأساسي، لكن إعادة تصنيف القطاعات أو المقياس comparable/reported قد تغير معنى المقارنة. لذلك يطلب GSOS في النسخة المحسنة سجل مصدر + تاريخ + تعريف المقياس + checksum + مرجع ثانوي عند الحاجة.</w:t>
      </w:r>
    </w:p>
    <w:p>
      <w:pPr>
        <w:pStyle w:val="ListBullet"/>
        <w:spacing w:after="24" w:line="240" w:lineRule="auto"/>
        <w:ind w:left="288" w:right="144"/>
        <w:jc w:val="right"/>
        <w:bidi w:val="1"/>
      </w:pPr>
      <w:r>
        <w:rPr>
          <w:rFonts w:ascii="Noto Sans Arabic" w:hAnsi="Noto Sans Arabic" w:eastAsia="Noto Sans Arabic"/>
          <w:sz w:val="18"/>
        </w:rPr>
        <w:t>Source identity</w:t>
      </w:r>
    </w:p>
    <w:p>
      <w:pPr>
        <w:pStyle w:val="ListBullet"/>
        <w:spacing w:after="24" w:line="240" w:lineRule="auto"/>
        <w:ind w:left="288" w:right="144"/>
        <w:jc w:val="right"/>
        <w:bidi w:val="1"/>
      </w:pPr>
      <w:r>
        <w:rPr>
          <w:rFonts w:ascii="Noto Sans Arabic" w:hAnsi="Noto Sans Arabic" w:eastAsia="Noto Sans Arabic"/>
          <w:sz w:val="18"/>
        </w:rPr>
        <w:t>Publication time</w:t>
      </w:r>
    </w:p>
    <w:p>
      <w:pPr>
        <w:pStyle w:val="ListBullet"/>
        <w:spacing w:after="24" w:line="240" w:lineRule="auto"/>
        <w:ind w:left="288" w:right="144"/>
        <w:jc w:val="right"/>
        <w:bidi w:val="1"/>
      </w:pPr>
      <w:r>
        <w:rPr>
          <w:rFonts w:ascii="Noto Sans Arabic" w:hAnsi="Noto Sans Arabic" w:eastAsia="Noto Sans Arabic"/>
          <w:sz w:val="18"/>
        </w:rPr>
        <w:t>Metric definition</w:t>
      </w:r>
    </w:p>
    <w:p>
      <w:pPr>
        <w:pStyle w:val="ListBullet"/>
        <w:spacing w:after="24" w:line="240" w:lineRule="auto"/>
        <w:ind w:left="288" w:right="144"/>
        <w:jc w:val="right"/>
        <w:bidi w:val="1"/>
      </w:pPr>
      <w:r>
        <w:rPr>
          <w:rFonts w:ascii="Noto Sans Arabic" w:hAnsi="Noto Sans Arabic" w:eastAsia="Noto Sans Arabic"/>
          <w:sz w:val="18"/>
        </w:rPr>
        <w:t>Cross-check</w:t>
      </w:r>
    </w:p>
    <w:p>
      <w:pPr>
        <w:pStyle w:val="ListBullet"/>
        <w:spacing w:after="24" w:line="240" w:lineRule="auto"/>
        <w:ind w:left="288" w:right="144"/>
        <w:jc w:val="right"/>
        <w:bidi w:val="1"/>
      </w:pPr>
      <w:r>
        <w:rPr>
          <w:rFonts w:ascii="Noto Sans Arabic" w:hAnsi="Noto Sans Arabic" w:eastAsia="Noto Sans Arabic"/>
          <w:sz w:val="18"/>
        </w:rPr>
        <w:t>Conflict flag</w:t>
      </w:r>
    </w:p>
    <w:p>
      <w:pPr>
        <w:spacing w:before="40" w:after="60"/>
        <w:jc w:val="left"/>
        <w:bidi w:val="0"/>
      </w:pPr>
      <w:r>
        <w:rPr>
          <w:rFonts w:ascii="Aptos" w:hAnsi="Aptos"/>
          <w:i/>
          <w:sz w:val="14"/>
        </w:rPr>
        <w:t>Sources / provenance: M2 p22 + N2 + N5</w:t>
      </w:r>
    </w:p>
    <w:p>
      <w:pPr>
        <w:spacing w:before="20" w:after="0"/>
        <w:jc w:val="center"/>
      </w:pPr>
      <w:r>
        <w:rPr>
          <w:rFonts w:ascii="Noto Sans Arabic" w:hAnsi="Noto Sans Arabic" w:eastAsia="Noto Sans Arabic"/>
          <w:b/>
          <w:sz w:val="16"/>
        </w:rPr>
        <w:t>GSOS-APP-003 | صفحة 05 / 50 | 2026-09-05</w:t>
      </w:r>
    </w:p>
    <w:p>
      <w:r>
        <w:br w:type="page"/>
      </w:r>
    </w:p>
    <w:p>
      <w:pPr>
        <w:spacing w:before="0" w:after="20" w:line="247" w:lineRule="auto"/>
        <w:jc w:val="right"/>
        <w:bidi w:val="1"/>
      </w:pPr>
      <w:r>
        <w:rPr>
          <w:rFonts w:ascii="Noto Sans Arabic" w:hAnsi="Noto Sans Arabic" w:eastAsia="Noto Sans Arabic"/>
          <w:b/>
          <w:sz w:val="29"/>
        </w:rPr>
        <w:t>الصفحة 6 - قواعد مستلهمة من علم الحديث</w:t>
      </w:r>
    </w:p>
    <w:p>
      <w:pPr>
        <w:spacing w:before="0" w:after="80" w:line="247" w:lineRule="auto"/>
        <w:jc w:val="right"/>
        <w:bidi w:val="1"/>
      </w:pPr>
      <w:r>
        <w:rPr>
          <w:rFonts w:ascii="Noto Sans Arabic" w:hAnsi="Noto Sans Arabic" w:eastAsia="Noto Sans Arabic"/>
          <w:b/>
          <w:sz w:val="20"/>
        </w:rPr>
        <w:t>تشابه منهجي لا مساواة بين مجالين</w:t>
      </w:r>
    </w:p>
    <w:p>
      <w:pPr>
        <w:spacing w:before="0" w:after="80" w:line="247" w:lineRule="auto"/>
        <w:jc w:val="right"/>
        <w:bidi w:val="1"/>
      </w:pPr>
      <w:r>
        <w:rPr>
          <w:rFonts w:ascii="Noto Sans Arabic" w:hAnsi="Noto Sans Arabic" w:eastAsia="Noto Sans Arabic"/>
          <w:b w:val="0"/>
          <w:sz w:val="19"/>
        </w:rPr>
        <w:t>يستفيد المختبر من بعض مبادئ نقد الرواية بوصفها استعارة منهجية للتوثيق: فالإسناد يذكّرنا بسلسلة النقل، وضبط الناقل يذكّرنا بتقييم موثوقية المصدر، ونقد المتن يذكّرنا بفحص الاتساق الداخلي. لكن هذا لا يجعل التقرير المالي حديثاً، ولا يحول منهج النقد التقليدي إلى برهان إحصائي؛ في GSOS تبقى قواعد الإثبات العلمي والتجريبي مستقلة.</w:t>
      </w:r>
    </w:p>
    <w:p>
      <w:pPr>
        <w:pStyle w:val="ListBullet"/>
        <w:spacing w:after="24" w:line="240" w:lineRule="auto"/>
        <w:ind w:left="288" w:right="144"/>
        <w:jc w:val="right"/>
        <w:bidi w:val="1"/>
      </w:pPr>
      <w:r>
        <w:rPr>
          <w:rFonts w:ascii="Noto Sans Arabic" w:hAnsi="Noto Sans Arabic" w:eastAsia="Noto Sans Arabic"/>
          <w:sz w:val="18"/>
        </w:rPr>
        <w:t>سلسلة النقل -&gt; provenance chain</w:t>
      </w:r>
    </w:p>
    <w:p>
      <w:pPr>
        <w:pStyle w:val="ListBullet"/>
        <w:spacing w:after="24" w:line="240" w:lineRule="auto"/>
        <w:ind w:left="288" w:right="144"/>
        <w:jc w:val="right"/>
        <w:bidi w:val="1"/>
      </w:pPr>
      <w:r>
        <w:rPr>
          <w:rFonts w:ascii="Noto Sans Arabic" w:hAnsi="Noto Sans Arabic" w:eastAsia="Noto Sans Arabic"/>
          <w:sz w:val="18"/>
        </w:rPr>
        <w:t>الضبط -&gt; source quality</w:t>
      </w:r>
    </w:p>
    <w:p>
      <w:pPr>
        <w:pStyle w:val="ListBullet"/>
        <w:spacing w:after="24" w:line="240" w:lineRule="auto"/>
        <w:ind w:left="288" w:right="144"/>
        <w:jc w:val="right"/>
        <w:bidi w:val="1"/>
      </w:pPr>
      <w:r>
        <w:rPr>
          <w:rFonts w:ascii="Noto Sans Arabic" w:hAnsi="Noto Sans Arabic" w:eastAsia="Noto Sans Arabic"/>
          <w:sz w:val="18"/>
        </w:rPr>
        <w:t>نقد المتن -&gt; internal consistency</w:t>
      </w:r>
    </w:p>
    <w:p>
      <w:pPr>
        <w:pStyle w:val="ListBullet"/>
        <w:spacing w:after="24" w:line="240" w:lineRule="auto"/>
        <w:ind w:left="288" w:right="144"/>
        <w:jc w:val="right"/>
        <w:bidi w:val="1"/>
      </w:pPr>
      <w:r>
        <w:rPr>
          <w:rFonts w:ascii="Noto Sans Arabic" w:hAnsi="Noto Sans Arabic" w:eastAsia="Noto Sans Arabic"/>
          <w:sz w:val="18"/>
        </w:rPr>
        <w:t>جمع الطرق -&gt; corroboration</w:t>
      </w:r>
    </w:p>
    <w:p>
      <w:pPr>
        <w:pStyle w:val="ListBullet"/>
        <w:spacing w:after="24" w:line="240" w:lineRule="auto"/>
        <w:ind w:left="288" w:right="144"/>
        <w:jc w:val="right"/>
        <w:bidi w:val="1"/>
      </w:pPr>
      <w:r>
        <w:rPr>
          <w:rFonts w:ascii="Noto Sans Arabic" w:hAnsi="Noto Sans Arabic" w:eastAsia="Noto Sans Arabic"/>
          <w:sz w:val="18"/>
        </w:rPr>
        <w:t>العلة/الشذوذ -&gt; anomaly &amp; contradiction testing</w:t>
      </w:r>
    </w:p>
    <w:p>
      <w:pPr>
        <w:spacing w:before="40" w:after="60"/>
        <w:jc w:val="left"/>
        <w:bidi w:val="0"/>
      </w:pPr>
      <w:r>
        <w:rPr>
          <w:rFonts w:ascii="Aptos" w:hAnsi="Aptos"/>
          <w:i/>
          <w:sz w:val="14"/>
        </w:rPr>
        <w:t>Sources / provenance: N2 + N3 + N4 + scholarly hadith methodology</w:t>
      </w:r>
    </w:p>
    <w:p>
      <w:pPr>
        <w:spacing w:before="20" w:after="0"/>
        <w:jc w:val="center"/>
      </w:pPr>
      <w:r>
        <w:rPr>
          <w:rFonts w:ascii="Noto Sans Arabic" w:hAnsi="Noto Sans Arabic" w:eastAsia="Noto Sans Arabic"/>
          <w:b/>
          <w:sz w:val="16"/>
        </w:rPr>
        <w:t>GSOS-APP-003 | صفحة 06 / 50 | 2026-09-05</w:t>
      </w:r>
    </w:p>
    <w:p>
      <w:r>
        <w:br w:type="page"/>
      </w:r>
    </w:p>
    <w:p>
      <w:pPr>
        <w:spacing w:before="0" w:after="20" w:line="247" w:lineRule="auto"/>
        <w:jc w:val="right"/>
        <w:bidi w:val="1"/>
      </w:pPr>
      <w:r>
        <w:rPr>
          <w:rFonts w:ascii="Noto Sans Arabic" w:hAnsi="Noto Sans Arabic" w:eastAsia="Noto Sans Arabic"/>
          <w:b/>
          <w:sz w:val="29"/>
        </w:rPr>
        <w:t>الصفحة 7 - الإسناد الرقمي المقترح</w:t>
      </w:r>
    </w:p>
    <w:p>
      <w:pPr>
        <w:spacing w:before="0" w:after="80" w:line="247" w:lineRule="auto"/>
        <w:jc w:val="right"/>
        <w:bidi w:val="1"/>
      </w:pPr>
      <w:r>
        <w:rPr>
          <w:rFonts w:ascii="Noto Sans Arabic" w:hAnsi="Noto Sans Arabic" w:eastAsia="Noto Sans Arabic"/>
          <w:b/>
          <w:sz w:val="20"/>
        </w:rPr>
        <w:t>تحويل الفكرة إلى بروتوكول قابل للبرمجة</w:t>
      </w:r>
    </w:p>
    <w:p>
      <w:pPr>
        <w:spacing w:before="0" w:after="80" w:line="247" w:lineRule="auto"/>
        <w:jc w:val="right"/>
        <w:bidi w:val="1"/>
      </w:pPr>
      <w:r>
        <w:rPr>
          <w:rFonts w:ascii="Noto Sans Arabic" w:hAnsi="Noto Sans Arabic" w:eastAsia="Noto Sans Arabic"/>
          <w:b w:val="0"/>
          <w:sz w:val="19"/>
        </w:rPr>
        <w:t>يجب أن يتحول كل claim إلى سجل machine-readable يربط المصدر بالنسخة والوقت والناتج. بهذه الطريقة يمكن للجنة أن تتعقب لماذا ظهرت إشارة ما، وما إذا كان المصدر قد أضيف بعد cutoff، وما إذا كان التحليل يعتمد على بيانات لم تكن متاحة وقت التنبؤ.</w:t>
      </w:r>
    </w:p>
    <w:tbl>
      <w:tblPr>
        <w:tblStyle w:val="TableGrid"/>
        <w:tblW w:type="auto" w:w="0"/>
        <w:jc w:val="center"/>
        <w:tblLook w:firstColumn="1" w:firstRow="1" w:lastColumn="0" w:lastRow="0" w:noHBand="0" w:noVBand="1" w:val="04A0"/>
      </w:tblPr>
      <w:tblGrid>
        <w:gridCol w:w="5256"/>
        <w:gridCol w:w="5256"/>
      </w:tblGrid>
      <w:tr>
        <w:tc>
          <w:tcPr>
            <w:tcW w:type="dxa" w:w="5256"/>
            <w:shd w:fill="D9E2F3"/>
            <w:vAlign w:val="center"/>
          </w:tcPr>
          <w:p>
            <w:pPr>
              <w:jc w:val="center"/>
            </w:pPr>
            <w:r/>
            <w:r>
              <w:rPr>
                <w:rFonts w:ascii="Noto Sans Arabic" w:hAnsi="Noto Sans Arabic" w:eastAsia="Noto Sans Arabic"/>
                <w:b/>
                <w:sz w:val="16"/>
              </w:rPr>
              <w:t>الحقل</w:t>
            </w:r>
          </w:p>
        </w:tc>
        <w:tc>
          <w:tcPr>
            <w:tcW w:type="dxa" w:w="5256"/>
            <w:shd w:fill="D9E2F3"/>
            <w:vAlign w:val="center"/>
          </w:tcPr>
          <w:p>
            <w:pPr>
              <w:jc w:val="center"/>
            </w:pPr>
            <w:r/>
            <w:r>
              <w:rPr>
                <w:rFonts w:ascii="Noto Sans Arabic" w:hAnsi="Noto Sans Arabic" w:eastAsia="Noto Sans Arabic"/>
                <w:b/>
                <w:sz w:val="16"/>
              </w:rPr>
              <w:t>المعنى</w:t>
            </w:r>
          </w:p>
        </w:tc>
        <w:trPr>
          <w:tblHeader/>
        </w:trPr>
      </w:tr>
      <w:tr>
        <w:tc>
          <w:tcPr>
            <w:tcW w:type="dxa" w:w="5256"/>
          </w:tcPr>
          <w:p>
            <w:pPr>
              <w:jc w:val="center"/>
            </w:pPr>
            <w:r/>
            <w:r>
              <w:rPr>
                <w:rFonts w:ascii="Noto Sans Arabic" w:hAnsi="Noto Sans Arabic" w:eastAsia="Noto Sans Arabic"/>
                <w:sz w:val="16"/>
              </w:rPr>
              <w:t>source_id</w:t>
            </w:r>
          </w:p>
        </w:tc>
        <w:tc>
          <w:tcPr>
            <w:tcW w:type="dxa" w:w="5256"/>
          </w:tcPr>
          <w:p>
            <w:pPr>
              <w:jc w:val="center"/>
            </w:pPr>
            <w:r/>
            <w:r>
              <w:rPr>
                <w:rFonts w:ascii="Noto Sans Arabic" w:hAnsi="Noto Sans Arabic" w:eastAsia="Noto Sans Arabic"/>
                <w:sz w:val="16"/>
              </w:rPr>
              <w:t>هوية المصدر</w:t>
            </w:r>
          </w:p>
        </w:tc>
      </w:tr>
      <w:tr>
        <w:tc>
          <w:tcPr>
            <w:tcW w:type="dxa" w:w="5256"/>
          </w:tcPr>
          <w:p>
            <w:pPr>
              <w:jc w:val="center"/>
            </w:pPr>
            <w:r/>
            <w:r>
              <w:rPr>
                <w:rFonts w:ascii="Noto Sans Arabic" w:hAnsi="Noto Sans Arabic" w:eastAsia="Noto Sans Arabic"/>
                <w:sz w:val="16"/>
              </w:rPr>
              <w:t>published_at</w:t>
            </w:r>
          </w:p>
        </w:tc>
        <w:tc>
          <w:tcPr>
            <w:tcW w:type="dxa" w:w="5256"/>
          </w:tcPr>
          <w:p>
            <w:pPr>
              <w:jc w:val="center"/>
            </w:pPr>
            <w:r/>
            <w:r>
              <w:rPr>
                <w:rFonts w:ascii="Noto Sans Arabic" w:hAnsi="Noto Sans Arabic" w:eastAsia="Noto Sans Arabic"/>
                <w:sz w:val="16"/>
              </w:rPr>
              <w:t>زمن النشر</w:t>
            </w:r>
          </w:p>
        </w:tc>
      </w:tr>
      <w:tr>
        <w:tc>
          <w:tcPr>
            <w:tcW w:type="dxa" w:w="5256"/>
          </w:tcPr>
          <w:p>
            <w:pPr>
              <w:jc w:val="center"/>
            </w:pPr>
            <w:r/>
            <w:r>
              <w:rPr>
                <w:rFonts w:ascii="Noto Sans Arabic" w:hAnsi="Noto Sans Arabic" w:eastAsia="Noto Sans Arabic"/>
                <w:sz w:val="16"/>
              </w:rPr>
              <w:t>retrieved_at</w:t>
            </w:r>
          </w:p>
        </w:tc>
        <w:tc>
          <w:tcPr>
            <w:tcW w:type="dxa" w:w="5256"/>
          </w:tcPr>
          <w:p>
            <w:pPr>
              <w:jc w:val="center"/>
            </w:pPr>
            <w:r/>
            <w:r>
              <w:rPr>
                <w:rFonts w:ascii="Noto Sans Arabic" w:hAnsi="Noto Sans Arabic" w:eastAsia="Noto Sans Arabic"/>
                <w:sz w:val="16"/>
              </w:rPr>
              <w:t>زمن الإدخال</w:t>
            </w:r>
          </w:p>
        </w:tc>
      </w:tr>
      <w:tr>
        <w:tc>
          <w:tcPr>
            <w:tcW w:type="dxa" w:w="5256"/>
          </w:tcPr>
          <w:p>
            <w:pPr>
              <w:jc w:val="center"/>
            </w:pPr>
            <w:r/>
            <w:r>
              <w:rPr>
                <w:rFonts w:ascii="Noto Sans Arabic" w:hAnsi="Noto Sans Arabic" w:eastAsia="Noto Sans Arabic"/>
                <w:sz w:val="16"/>
              </w:rPr>
              <w:t>metric_definition</w:t>
            </w:r>
          </w:p>
        </w:tc>
        <w:tc>
          <w:tcPr>
            <w:tcW w:type="dxa" w:w="5256"/>
          </w:tcPr>
          <w:p>
            <w:pPr>
              <w:jc w:val="center"/>
            </w:pPr>
            <w:r/>
            <w:r>
              <w:rPr>
                <w:rFonts w:ascii="Noto Sans Arabic" w:hAnsi="Noto Sans Arabic" w:eastAsia="Noto Sans Arabic"/>
                <w:sz w:val="16"/>
              </w:rPr>
              <w:t>تعريف الرقم</w:t>
            </w:r>
          </w:p>
        </w:tc>
      </w:tr>
      <w:tr>
        <w:tc>
          <w:tcPr>
            <w:tcW w:type="dxa" w:w="5256"/>
          </w:tcPr>
          <w:p>
            <w:pPr>
              <w:jc w:val="center"/>
            </w:pPr>
            <w:r/>
            <w:r>
              <w:rPr>
                <w:rFonts w:ascii="Noto Sans Arabic" w:hAnsi="Noto Sans Arabic" w:eastAsia="Noto Sans Arabic"/>
                <w:sz w:val="16"/>
              </w:rPr>
              <w:t>hash</w:t>
            </w:r>
          </w:p>
        </w:tc>
        <w:tc>
          <w:tcPr>
            <w:tcW w:type="dxa" w:w="5256"/>
          </w:tcPr>
          <w:p>
            <w:pPr>
              <w:jc w:val="center"/>
            </w:pPr>
            <w:r/>
            <w:r>
              <w:rPr>
                <w:rFonts w:ascii="Noto Sans Arabic" w:hAnsi="Noto Sans Arabic" w:eastAsia="Noto Sans Arabic"/>
                <w:sz w:val="16"/>
              </w:rPr>
              <w:t>بصمة الملف</w:t>
            </w:r>
          </w:p>
        </w:tc>
      </w:tr>
      <w:tr>
        <w:tc>
          <w:tcPr>
            <w:tcW w:type="dxa" w:w="5256"/>
          </w:tcPr>
          <w:p>
            <w:pPr>
              <w:jc w:val="center"/>
            </w:pPr>
            <w:r/>
            <w:r>
              <w:rPr>
                <w:rFonts w:ascii="Noto Sans Arabic" w:hAnsi="Noto Sans Arabic" w:eastAsia="Noto Sans Arabic"/>
                <w:sz w:val="16"/>
              </w:rPr>
              <w:t>corroboration</w:t>
            </w:r>
          </w:p>
        </w:tc>
        <w:tc>
          <w:tcPr>
            <w:tcW w:type="dxa" w:w="5256"/>
          </w:tcPr>
          <w:p>
            <w:pPr>
              <w:jc w:val="center"/>
            </w:pPr>
            <w:r/>
            <w:r>
              <w:rPr>
                <w:rFonts w:ascii="Noto Sans Arabic" w:hAnsi="Noto Sans Arabic" w:eastAsia="Noto Sans Arabic"/>
                <w:sz w:val="16"/>
              </w:rPr>
              <w:t>مصادر مؤيدة/مخالفة</w:t>
            </w:r>
          </w:p>
        </w:tc>
      </w:tr>
      <w:tr>
        <w:tc>
          <w:tcPr>
            <w:tcW w:type="dxa" w:w="5256"/>
          </w:tcPr>
          <w:p>
            <w:pPr>
              <w:jc w:val="center"/>
            </w:pPr>
            <w:r/>
            <w:r>
              <w:rPr>
                <w:rFonts w:ascii="Noto Sans Arabic" w:hAnsi="Noto Sans Arabic" w:eastAsia="Noto Sans Arabic"/>
                <w:sz w:val="16"/>
              </w:rPr>
              <w:t>status</w:t>
            </w:r>
          </w:p>
        </w:tc>
        <w:tc>
          <w:tcPr>
            <w:tcW w:type="dxa" w:w="5256"/>
          </w:tcPr>
          <w:p>
            <w:pPr>
              <w:jc w:val="center"/>
            </w:pPr>
            <w:r/>
            <w:r>
              <w:rPr>
                <w:rFonts w:ascii="Noto Sans Arabic" w:hAnsi="Noto Sans Arabic" w:eastAsia="Noto Sans Arabic"/>
                <w:sz w:val="16"/>
              </w:rPr>
              <w:t>verified / disputed / synthetic</w:t>
            </w:r>
          </w:p>
        </w:tc>
      </w:tr>
    </w:tbl>
    <w:p>
      <w:pPr>
        <w:spacing w:after="20"/>
      </w:pPr>
    </w:p>
    <w:p>
      <w:pPr>
        <w:spacing w:before="40" w:after="60"/>
        <w:jc w:val="left"/>
        <w:bidi w:val="0"/>
      </w:pPr>
      <w:r>
        <w:rPr>
          <w:rFonts w:ascii="Aptos" w:hAnsi="Aptos"/>
          <w:i/>
          <w:sz w:val="14"/>
        </w:rPr>
        <w:t>Sources / provenance: M1 + M2 + protocol design</w:t>
      </w:r>
    </w:p>
    <w:p>
      <w:pPr>
        <w:spacing w:before="20" w:after="0"/>
        <w:jc w:val="center"/>
      </w:pPr>
      <w:r>
        <w:rPr>
          <w:rFonts w:ascii="Noto Sans Arabic" w:hAnsi="Noto Sans Arabic" w:eastAsia="Noto Sans Arabic"/>
          <w:b/>
          <w:sz w:val="16"/>
        </w:rPr>
        <w:t>GSOS-APP-003 | صفحة 07 / 50 | 2026-09-05</w:t>
      </w:r>
    </w:p>
    <w:p>
      <w:r>
        <w:br w:type="page"/>
      </w:r>
    </w:p>
    <w:p>
      <w:pPr>
        <w:spacing w:before="0" w:after="20" w:line="247" w:lineRule="auto"/>
        <w:jc w:val="right"/>
        <w:bidi w:val="1"/>
      </w:pPr>
      <w:r>
        <w:rPr>
          <w:rFonts w:ascii="Noto Sans Arabic" w:hAnsi="Noto Sans Arabic" w:eastAsia="Noto Sans Arabic"/>
          <w:b/>
          <w:sz w:val="29"/>
        </w:rPr>
        <w:t>الصفحة 8 - نقد المتن</w:t>
      </w:r>
    </w:p>
    <w:p>
      <w:pPr>
        <w:spacing w:before="0" w:after="80" w:line="247" w:lineRule="auto"/>
        <w:jc w:val="right"/>
        <w:bidi w:val="1"/>
      </w:pPr>
      <w:r>
        <w:rPr>
          <w:rFonts w:ascii="Noto Sans Arabic" w:hAnsi="Noto Sans Arabic" w:eastAsia="Noto Sans Arabic"/>
          <w:b/>
          <w:sz w:val="20"/>
        </w:rPr>
        <w:t>الاتساق الداخلي قبل الاستنتاج</w:t>
      </w:r>
    </w:p>
    <w:p>
      <w:pPr>
        <w:spacing w:before="0" w:after="80" w:line="247" w:lineRule="auto"/>
        <w:jc w:val="right"/>
        <w:bidi w:val="1"/>
      </w:pPr>
      <w:r>
        <w:rPr>
          <w:rFonts w:ascii="Noto Sans Arabic" w:hAnsi="Noto Sans Arabic" w:eastAsia="Noto Sans Arabic"/>
          <w:b w:val="0"/>
          <w:sz w:val="19"/>
        </w:rPr>
        <w:t>في تحليل Nokia يجب ألا تؤخذ عبارة مثل 'النمو قوي' منفصلة عن تعريف المقياس. على سبيل المثال، Q2 2026 يجمع بين نمو 9% للمبيعات على أساس constant currency، ونمو 8% reported، بينما reported operating margin بلغ -1% مقابل comparable operating margin 9%. القراءة الصحيحة لا تختار الرقم الأكثر إيجابية، بل تشرح سبب الاختلاف.</w:t>
      </w:r>
    </w:p>
    <w:tbl>
      <w:tblPr>
        <w:tblStyle w:val="TableGrid"/>
        <w:tblW w:type="auto" w:w="0"/>
        <w:jc w:val="center"/>
        <w:tblLook w:firstColumn="1" w:firstRow="1" w:lastColumn="0" w:lastRow="0" w:noHBand="0" w:noVBand="1" w:val="04A0"/>
      </w:tblPr>
      <w:tblGrid>
        <w:gridCol w:w="3504"/>
        <w:gridCol w:w="3504"/>
        <w:gridCol w:w="3504"/>
      </w:tblGrid>
      <w:tr>
        <w:tc>
          <w:tcPr>
            <w:tcW w:type="dxa" w:w="3504"/>
            <w:shd w:fill="D9E2F3"/>
            <w:vAlign w:val="center"/>
          </w:tcPr>
          <w:p>
            <w:pPr>
              <w:jc w:val="center"/>
            </w:pPr>
            <w:r/>
            <w:r>
              <w:rPr>
                <w:rFonts w:ascii="Noto Sans Arabic" w:hAnsi="Noto Sans Arabic" w:eastAsia="Noto Sans Arabic"/>
                <w:b/>
                <w:sz w:val="16"/>
              </w:rPr>
              <w:t>المؤشر Q2 2026</w:t>
            </w:r>
          </w:p>
        </w:tc>
        <w:tc>
          <w:tcPr>
            <w:tcW w:type="dxa" w:w="3504"/>
            <w:shd w:fill="D9E2F3"/>
            <w:vAlign w:val="center"/>
          </w:tcPr>
          <w:p>
            <w:pPr>
              <w:jc w:val="center"/>
            </w:pPr>
            <w:r/>
            <w:r>
              <w:rPr>
                <w:rFonts w:ascii="Noto Sans Arabic" w:hAnsi="Noto Sans Arabic" w:eastAsia="Noto Sans Arabic"/>
                <w:b/>
                <w:sz w:val="16"/>
              </w:rPr>
              <w:t>Comparable</w:t>
            </w:r>
          </w:p>
        </w:tc>
        <w:tc>
          <w:tcPr>
            <w:tcW w:type="dxa" w:w="3504"/>
            <w:shd w:fill="D9E2F3"/>
            <w:vAlign w:val="center"/>
          </w:tcPr>
          <w:p>
            <w:pPr>
              <w:jc w:val="center"/>
            </w:pPr>
            <w:r/>
            <w:r>
              <w:rPr>
                <w:rFonts w:ascii="Noto Sans Arabic" w:hAnsi="Noto Sans Arabic" w:eastAsia="Noto Sans Arabic"/>
                <w:b/>
                <w:sz w:val="16"/>
              </w:rPr>
              <w:t>Reported</w:t>
            </w:r>
          </w:p>
        </w:tc>
        <w:trPr>
          <w:tblHeader/>
        </w:trPr>
      </w:tr>
      <w:tr>
        <w:tc>
          <w:tcPr>
            <w:tcW w:type="dxa" w:w="3504"/>
          </w:tcPr>
          <w:p>
            <w:pPr>
              <w:jc w:val="center"/>
            </w:pPr>
            <w:r/>
            <w:r>
              <w:rPr>
                <w:rFonts w:ascii="Noto Sans Arabic" w:hAnsi="Noto Sans Arabic" w:eastAsia="Noto Sans Arabic"/>
                <w:sz w:val="16"/>
              </w:rPr>
              <w:t>Gross margin</w:t>
            </w:r>
          </w:p>
        </w:tc>
        <w:tc>
          <w:tcPr>
            <w:tcW w:type="dxa" w:w="3504"/>
          </w:tcPr>
          <w:p>
            <w:pPr>
              <w:jc w:val="center"/>
            </w:pPr>
            <w:r/>
            <w:r>
              <w:rPr>
                <w:rFonts w:ascii="Noto Sans Arabic" w:hAnsi="Noto Sans Arabic" w:eastAsia="Noto Sans Arabic"/>
                <w:sz w:val="16"/>
              </w:rPr>
              <w:t>46.0%</w:t>
            </w:r>
          </w:p>
        </w:tc>
        <w:tc>
          <w:tcPr>
            <w:tcW w:type="dxa" w:w="3504"/>
          </w:tcPr>
          <w:p>
            <w:pPr>
              <w:jc w:val="center"/>
            </w:pPr>
            <w:r/>
            <w:r>
              <w:rPr>
                <w:rFonts w:ascii="Noto Sans Arabic" w:hAnsi="Noto Sans Arabic" w:eastAsia="Noto Sans Arabic"/>
                <w:sz w:val="16"/>
              </w:rPr>
              <w:t>44.6%</w:t>
            </w:r>
          </w:p>
        </w:tc>
      </w:tr>
      <w:tr>
        <w:tc>
          <w:tcPr>
            <w:tcW w:type="dxa" w:w="3504"/>
          </w:tcPr>
          <w:p>
            <w:pPr>
              <w:jc w:val="center"/>
            </w:pPr>
            <w:r/>
            <w:r>
              <w:rPr>
                <w:rFonts w:ascii="Noto Sans Arabic" w:hAnsi="Noto Sans Arabic" w:eastAsia="Noto Sans Arabic"/>
                <w:sz w:val="16"/>
              </w:rPr>
              <w:t>Operating margin</w:t>
            </w:r>
          </w:p>
        </w:tc>
        <w:tc>
          <w:tcPr>
            <w:tcW w:type="dxa" w:w="3504"/>
          </w:tcPr>
          <w:p>
            <w:pPr>
              <w:jc w:val="center"/>
            </w:pPr>
            <w:r/>
            <w:r>
              <w:rPr>
                <w:rFonts w:ascii="Noto Sans Arabic" w:hAnsi="Noto Sans Arabic" w:eastAsia="Noto Sans Arabic"/>
                <w:sz w:val="16"/>
              </w:rPr>
              <w:t>9.0%</w:t>
            </w:r>
          </w:p>
        </w:tc>
        <w:tc>
          <w:tcPr>
            <w:tcW w:type="dxa" w:w="3504"/>
          </w:tcPr>
          <w:p>
            <w:pPr>
              <w:jc w:val="center"/>
            </w:pPr>
            <w:r/>
            <w:r>
              <w:rPr>
                <w:rFonts w:ascii="Noto Sans Arabic" w:hAnsi="Noto Sans Arabic" w:eastAsia="Noto Sans Arabic"/>
                <w:sz w:val="16"/>
              </w:rPr>
              <w:t>-1.0%</w:t>
            </w:r>
          </w:p>
        </w:tc>
      </w:tr>
      <w:tr>
        <w:tc>
          <w:tcPr>
            <w:tcW w:type="dxa" w:w="3504"/>
          </w:tcPr>
          <w:p>
            <w:pPr>
              <w:jc w:val="center"/>
            </w:pPr>
            <w:r/>
            <w:r>
              <w:rPr>
                <w:rFonts w:ascii="Noto Sans Arabic" w:hAnsi="Noto Sans Arabic" w:eastAsia="Noto Sans Arabic"/>
                <w:sz w:val="16"/>
              </w:rPr>
              <w:t>Diluted EPS</w:t>
            </w:r>
          </w:p>
        </w:tc>
        <w:tc>
          <w:tcPr>
            <w:tcW w:type="dxa" w:w="3504"/>
          </w:tcPr>
          <w:p>
            <w:pPr>
              <w:jc w:val="center"/>
            </w:pPr>
            <w:r/>
            <w:r>
              <w:rPr>
                <w:rFonts w:ascii="Noto Sans Arabic" w:hAnsi="Noto Sans Arabic" w:eastAsia="Noto Sans Arabic"/>
                <w:sz w:val="16"/>
              </w:rPr>
              <w:t>€0.07</w:t>
            </w:r>
          </w:p>
        </w:tc>
        <w:tc>
          <w:tcPr>
            <w:tcW w:type="dxa" w:w="3504"/>
          </w:tcPr>
          <w:p>
            <w:pPr>
              <w:jc w:val="center"/>
            </w:pPr>
            <w:r/>
            <w:r>
              <w:rPr>
                <w:rFonts w:ascii="Noto Sans Arabic" w:hAnsi="Noto Sans Arabic" w:eastAsia="Noto Sans Arabic"/>
                <w:sz w:val="16"/>
              </w:rPr>
              <w:t>€0.00</w:t>
            </w:r>
          </w:p>
        </w:tc>
      </w:tr>
    </w:tbl>
    <w:p>
      <w:pPr>
        <w:spacing w:after="20"/>
      </w:pPr>
    </w:p>
    <w:p>
      <w:pPr>
        <w:spacing w:before="40" w:after="60"/>
        <w:jc w:val="left"/>
        <w:bidi w:val="0"/>
      </w:pPr>
      <w:r>
        <w:rPr>
          <w:rFonts w:ascii="Aptos" w:hAnsi="Aptos"/>
          <w:i/>
          <w:sz w:val="14"/>
        </w:rPr>
        <w:t>Sources / provenance: N4 / M2 pp29-31</w:t>
      </w:r>
    </w:p>
    <w:p>
      <w:pPr>
        <w:spacing w:before="20" w:after="0"/>
        <w:jc w:val="center"/>
      </w:pPr>
      <w:r>
        <w:rPr>
          <w:rFonts w:ascii="Noto Sans Arabic" w:hAnsi="Noto Sans Arabic" w:eastAsia="Noto Sans Arabic"/>
          <w:b/>
          <w:sz w:val="16"/>
        </w:rPr>
        <w:t>GSOS-APP-003 | صفحة 08 / 50 | 2026-09-05</w:t>
      </w:r>
    </w:p>
    <w:p>
      <w:r>
        <w:br w:type="page"/>
      </w:r>
    </w:p>
    <w:p>
      <w:pPr>
        <w:spacing w:before="0" w:after="20" w:line="247" w:lineRule="auto"/>
        <w:jc w:val="right"/>
        <w:bidi w:val="1"/>
      </w:pPr>
      <w:r>
        <w:rPr>
          <w:rFonts w:ascii="Noto Sans Arabic" w:hAnsi="Noto Sans Arabic" w:eastAsia="Noto Sans Arabic"/>
          <w:b/>
          <w:sz w:val="29"/>
        </w:rPr>
        <w:t>الصفحة 9 - الخط الزمني العام</w:t>
      </w:r>
    </w:p>
    <w:p>
      <w:pPr>
        <w:spacing w:before="0" w:after="80" w:line="247" w:lineRule="auto"/>
        <w:jc w:val="right"/>
        <w:bidi w:val="1"/>
      </w:pPr>
      <w:r>
        <w:rPr>
          <w:rFonts w:ascii="Noto Sans Arabic" w:hAnsi="Noto Sans Arabic" w:eastAsia="Noto Sans Arabic"/>
          <w:b/>
          <w:sz w:val="20"/>
        </w:rPr>
        <w:t>Nokia كعملية إعادة اختراع متتابعة</w:t>
      </w:r>
    </w:p>
    <w:p>
      <w:pPr>
        <w:spacing w:before="0" w:after="80" w:line="247" w:lineRule="auto"/>
        <w:jc w:val="right"/>
        <w:bidi w:val="1"/>
      </w:pPr>
      <w:r>
        <w:rPr>
          <w:rFonts w:ascii="Noto Sans Arabic" w:hAnsi="Noto Sans Arabic" w:eastAsia="Noto Sans Arabic"/>
          <w:b w:val="0"/>
          <w:sz w:val="19"/>
        </w:rPr>
        <w:t>السمة الأكثر ثباتاً في تاريخ Nokia ليست الهاتف نفسه بل القدرة - وأحياناً الحاجة - على إعادة تعريف مركز الشركة. من مصنع لبّ الورق سنة 1865 إلى اندماج 1967، ثم الاتصالات المحمولة، ثم قيادة الهواتف، ثم بيع Devices &amp; Services، ثم التركيز على الشبكات وIP والبصريات، ثم AI-native networking.</w:t>
      </w:r>
    </w:p>
    <w:p>
      <w:pPr>
        <w:jc w:val="center"/>
      </w:pPr>
      <w:r>
        <w:drawing>
          <wp:inline xmlns:a="http://schemas.openxmlformats.org/drawingml/2006/main" xmlns:pic="http://schemas.openxmlformats.org/drawingml/2006/picture">
            <wp:extent cx="5669280" cy="3033919"/>
            <wp:docPr id="1" name="Picture 1" descr="Image: image1.png"/>
            <wp:cNvGraphicFramePr>
              <a:graphicFrameLocks noChangeAspect="1"/>
            </wp:cNvGraphicFramePr>
            <a:graphic>
              <a:graphicData uri="http://schemas.openxmlformats.org/drawingml/2006/picture">
                <pic:pic>
                  <pic:nvPicPr>
                    <pic:cNvPr id="0" name="01_timeline.png"/>
                    <pic:cNvPicPr/>
                  </pic:nvPicPr>
                  <pic:blipFill>
                    <a:blip r:embed="rId9"/>
                    <a:stretch>
                      <a:fillRect/>
                    </a:stretch>
                  </pic:blipFill>
                  <pic:spPr>
                    <a:xfrm>
                      <a:off x="0" y="0"/>
                      <a:ext cx="5669280" cy="3033919"/>
                    </a:xfrm>
                    <a:prstGeom prst="rect"/>
                  </pic:spPr>
                </pic:pic>
              </a:graphicData>
            </a:graphic>
          </wp:inline>
        </w:drawing>
      </w:r>
    </w:p>
    <w:p>
      <w:pPr>
        <w:spacing w:after="40"/>
        <w:jc w:val="center"/>
        <w:bidi w:val="1"/>
      </w:pPr>
      <w:r>
        <w:rPr>
          <w:rFonts w:ascii="Noto Sans Arabic" w:hAnsi="Noto Sans Arabic" w:eastAsia="Noto Sans Arabic"/>
          <w:b w:val="0"/>
          <w:sz w:val="16"/>
        </w:rPr>
        <w:t>الشكل يقدّم مراحل نوعية، وليس مقياس نجاح رقمياً.</w:t>
      </w:r>
    </w:p>
    <w:p>
      <w:pPr>
        <w:spacing w:before="40" w:after="60"/>
        <w:jc w:val="left"/>
        <w:bidi w:val="0"/>
      </w:pPr>
      <w:r>
        <w:rPr>
          <w:rFonts w:ascii="Aptos" w:hAnsi="Aptos"/>
          <w:i/>
          <w:sz w:val="14"/>
        </w:rPr>
        <w:t>Sources / provenance: M2 pp4-12 + N1</w:t>
      </w:r>
    </w:p>
    <w:p>
      <w:pPr>
        <w:spacing w:before="20" w:after="0"/>
        <w:jc w:val="center"/>
      </w:pPr>
      <w:r>
        <w:rPr>
          <w:rFonts w:ascii="Noto Sans Arabic" w:hAnsi="Noto Sans Arabic" w:eastAsia="Noto Sans Arabic"/>
          <w:b/>
          <w:sz w:val="16"/>
        </w:rPr>
        <w:t>GSOS-APP-003 | صفحة 09 / 50 | 2026-09-05</w:t>
      </w:r>
    </w:p>
    <w:p>
      <w:r>
        <w:br w:type="page"/>
      </w:r>
    </w:p>
    <w:p>
      <w:pPr>
        <w:spacing w:before="0" w:after="20" w:line="247" w:lineRule="auto"/>
        <w:jc w:val="right"/>
        <w:bidi w:val="1"/>
      </w:pPr>
      <w:r>
        <w:rPr>
          <w:rFonts w:ascii="Noto Sans Arabic" w:hAnsi="Noto Sans Arabic" w:eastAsia="Noto Sans Arabic"/>
          <w:b/>
          <w:sz w:val="29"/>
        </w:rPr>
        <w:t>الصفحة 10 - 1865 إلى 1967</w:t>
      </w:r>
    </w:p>
    <w:p>
      <w:pPr>
        <w:spacing w:before="0" w:after="80" w:line="247" w:lineRule="auto"/>
        <w:jc w:val="right"/>
        <w:bidi w:val="1"/>
      </w:pPr>
      <w:r>
        <w:rPr>
          <w:rFonts w:ascii="Noto Sans Arabic" w:hAnsi="Noto Sans Arabic" w:eastAsia="Noto Sans Arabic"/>
          <w:b/>
          <w:sz w:val="20"/>
        </w:rPr>
        <w:t>مرحلة التنويع الصناعي</w:t>
      </w:r>
    </w:p>
    <w:p>
      <w:pPr>
        <w:spacing w:before="0" w:after="80" w:line="247" w:lineRule="auto"/>
        <w:jc w:val="right"/>
        <w:bidi w:val="1"/>
      </w:pPr>
      <w:r>
        <w:rPr>
          <w:rFonts w:ascii="Noto Sans Arabic" w:hAnsi="Noto Sans Arabic" w:eastAsia="Noto Sans Arabic"/>
          <w:b w:val="0"/>
          <w:sz w:val="19"/>
        </w:rPr>
        <w:t>بدأت Nokia كمنشأة لبّ ورق سنة 1865، ثم توسعت إلى أعمال المطاط والكابلات، قبل تشكيل Nokia Corporation سنة 1967 عبر دمج Nokia Ab وFinnish Rubber Works وFinnish Cable Works. هذه المرحلة مهمة للمختبر لأنها توضح أن 'هوية الشركة' تاريخياً كانت قابلة لإعادة التركيب.</w:t>
      </w:r>
    </w:p>
    <w:tbl>
      <w:tblPr>
        <w:tblStyle w:val="TableGrid"/>
        <w:tblW w:type="auto" w:w="0"/>
        <w:jc w:val="center"/>
        <w:tblLook w:firstColumn="1" w:firstRow="1" w:lastColumn="0" w:lastRow="0" w:noHBand="0" w:noVBand="1" w:val="04A0"/>
      </w:tblPr>
      <w:tblGrid>
        <w:gridCol w:w="5256"/>
        <w:gridCol w:w="5256"/>
      </w:tblGrid>
      <w:tr>
        <w:tc>
          <w:tcPr>
            <w:tcW w:type="dxa" w:w="5256"/>
            <w:shd w:fill="D9E2F3"/>
            <w:vAlign w:val="center"/>
          </w:tcPr>
          <w:p>
            <w:pPr>
              <w:jc w:val="center"/>
            </w:pPr>
            <w:r/>
            <w:r>
              <w:rPr>
                <w:rFonts w:ascii="Noto Sans Arabic" w:hAnsi="Noto Sans Arabic" w:eastAsia="Noto Sans Arabic"/>
                <w:b/>
                <w:sz w:val="16"/>
              </w:rPr>
              <w:t>السنة</w:t>
            </w:r>
          </w:p>
        </w:tc>
        <w:tc>
          <w:tcPr>
            <w:tcW w:type="dxa" w:w="5256"/>
            <w:shd w:fill="D9E2F3"/>
            <w:vAlign w:val="center"/>
          </w:tcPr>
          <w:p>
            <w:pPr>
              <w:jc w:val="center"/>
            </w:pPr>
            <w:r/>
            <w:r>
              <w:rPr>
                <w:rFonts w:ascii="Noto Sans Arabic" w:hAnsi="Noto Sans Arabic" w:eastAsia="Noto Sans Arabic"/>
                <w:b/>
                <w:sz w:val="16"/>
              </w:rPr>
              <w:t>الحدث</w:t>
            </w:r>
          </w:p>
        </w:tc>
        <w:trPr>
          <w:tblHeader/>
        </w:trPr>
      </w:tr>
      <w:tr>
        <w:tc>
          <w:tcPr>
            <w:tcW w:type="dxa" w:w="5256"/>
          </w:tcPr>
          <w:p>
            <w:pPr>
              <w:jc w:val="center"/>
            </w:pPr>
            <w:r/>
            <w:r>
              <w:rPr>
                <w:rFonts w:ascii="Noto Sans Arabic" w:hAnsi="Noto Sans Arabic" w:eastAsia="Noto Sans Arabic"/>
                <w:sz w:val="16"/>
              </w:rPr>
              <w:t>1865</w:t>
            </w:r>
          </w:p>
        </w:tc>
        <w:tc>
          <w:tcPr>
            <w:tcW w:type="dxa" w:w="5256"/>
          </w:tcPr>
          <w:p>
            <w:pPr>
              <w:jc w:val="center"/>
            </w:pPr>
            <w:r/>
            <w:r>
              <w:rPr>
                <w:rFonts w:ascii="Noto Sans Arabic" w:hAnsi="Noto Sans Arabic" w:eastAsia="Noto Sans Arabic"/>
                <w:sz w:val="16"/>
              </w:rPr>
              <w:t>أول مصنع لبّ ورق</w:t>
            </w:r>
          </w:p>
        </w:tc>
      </w:tr>
      <w:tr>
        <w:tc>
          <w:tcPr>
            <w:tcW w:type="dxa" w:w="5256"/>
          </w:tcPr>
          <w:p>
            <w:pPr>
              <w:jc w:val="center"/>
            </w:pPr>
            <w:r/>
            <w:r>
              <w:rPr>
                <w:rFonts w:ascii="Noto Sans Arabic" w:hAnsi="Noto Sans Arabic" w:eastAsia="Noto Sans Arabic"/>
                <w:sz w:val="16"/>
              </w:rPr>
              <w:t>1871</w:t>
            </w:r>
          </w:p>
        </w:tc>
        <w:tc>
          <w:tcPr>
            <w:tcW w:type="dxa" w:w="5256"/>
          </w:tcPr>
          <w:p>
            <w:pPr>
              <w:jc w:val="center"/>
            </w:pPr>
            <w:r/>
            <w:r>
              <w:rPr>
                <w:rFonts w:ascii="Noto Sans Arabic" w:hAnsi="Noto Sans Arabic" w:eastAsia="Noto Sans Arabic"/>
                <w:sz w:val="16"/>
              </w:rPr>
              <w:t>توسع قرب Nokianvirta</w:t>
            </w:r>
          </w:p>
        </w:tc>
      </w:tr>
      <w:tr>
        <w:tc>
          <w:tcPr>
            <w:tcW w:type="dxa" w:w="5256"/>
          </w:tcPr>
          <w:p>
            <w:pPr>
              <w:jc w:val="center"/>
            </w:pPr>
            <w:r/>
            <w:r>
              <w:rPr>
                <w:rFonts w:ascii="Noto Sans Arabic" w:hAnsi="Noto Sans Arabic" w:eastAsia="Noto Sans Arabic"/>
                <w:sz w:val="16"/>
              </w:rPr>
              <w:t>1898</w:t>
            </w:r>
          </w:p>
        </w:tc>
        <w:tc>
          <w:tcPr>
            <w:tcW w:type="dxa" w:w="5256"/>
          </w:tcPr>
          <w:p>
            <w:pPr>
              <w:jc w:val="center"/>
            </w:pPr>
            <w:r/>
            <w:r>
              <w:rPr>
                <w:rFonts w:ascii="Noto Sans Arabic" w:hAnsi="Noto Sans Arabic" w:eastAsia="Noto Sans Arabic"/>
                <w:sz w:val="16"/>
              </w:rPr>
              <w:t>Finnish Rubber Works</w:t>
            </w:r>
          </w:p>
        </w:tc>
      </w:tr>
      <w:tr>
        <w:tc>
          <w:tcPr>
            <w:tcW w:type="dxa" w:w="5256"/>
          </w:tcPr>
          <w:p>
            <w:pPr>
              <w:jc w:val="center"/>
            </w:pPr>
            <w:r/>
            <w:r>
              <w:rPr>
                <w:rFonts w:ascii="Noto Sans Arabic" w:hAnsi="Noto Sans Arabic" w:eastAsia="Noto Sans Arabic"/>
                <w:sz w:val="16"/>
              </w:rPr>
              <w:t>1912</w:t>
            </w:r>
          </w:p>
        </w:tc>
        <w:tc>
          <w:tcPr>
            <w:tcW w:type="dxa" w:w="5256"/>
          </w:tcPr>
          <w:p>
            <w:pPr>
              <w:jc w:val="center"/>
            </w:pPr>
            <w:r/>
            <w:r>
              <w:rPr>
                <w:rFonts w:ascii="Noto Sans Arabic" w:hAnsi="Noto Sans Arabic" w:eastAsia="Noto Sans Arabic"/>
                <w:sz w:val="16"/>
              </w:rPr>
              <w:t>Finnish Cable Works</w:t>
            </w:r>
          </w:p>
        </w:tc>
      </w:tr>
      <w:tr>
        <w:tc>
          <w:tcPr>
            <w:tcW w:type="dxa" w:w="5256"/>
          </w:tcPr>
          <w:p>
            <w:pPr>
              <w:jc w:val="center"/>
            </w:pPr>
            <w:r/>
            <w:r>
              <w:rPr>
                <w:rFonts w:ascii="Noto Sans Arabic" w:hAnsi="Noto Sans Arabic" w:eastAsia="Noto Sans Arabic"/>
                <w:sz w:val="16"/>
              </w:rPr>
              <w:t>1967</w:t>
            </w:r>
          </w:p>
        </w:tc>
        <w:tc>
          <w:tcPr>
            <w:tcW w:type="dxa" w:w="5256"/>
          </w:tcPr>
          <w:p>
            <w:pPr>
              <w:jc w:val="center"/>
            </w:pPr>
            <w:r/>
            <w:r>
              <w:rPr>
                <w:rFonts w:ascii="Noto Sans Arabic" w:hAnsi="Noto Sans Arabic" w:eastAsia="Noto Sans Arabic"/>
                <w:sz w:val="16"/>
              </w:rPr>
              <w:t>تشكيل Nokia Corporation</w:t>
            </w:r>
          </w:p>
        </w:tc>
      </w:tr>
    </w:tbl>
    <w:p>
      <w:pPr>
        <w:spacing w:after="20"/>
      </w:pPr>
    </w:p>
    <w:p>
      <w:pPr>
        <w:spacing w:before="40" w:after="60"/>
        <w:jc w:val="left"/>
        <w:bidi w:val="0"/>
      </w:pPr>
      <w:r>
        <w:rPr>
          <w:rFonts w:ascii="Aptos" w:hAnsi="Aptos"/>
          <w:i/>
          <w:sz w:val="14"/>
        </w:rPr>
        <w:t>Sources / provenance: M2 p4 + N1</w:t>
      </w:r>
    </w:p>
    <w:p>
      <w:pPr>
        <w:spacing w:before="20" w:after="0"/>
        <w:jc w:val="center"/>
      </w:pPr>
      <w:r>
        <w:rPr>
          <w:rFonts w:ascii="Noto Sans Arabic" w:hAnsi="Noto Sans Arabic" w:eastAsia="Noto Sans Arabic"/>
          <w:b/>
          <w:sz w:val="16"/>
        </w:rPr>
        <w:t>GSOS-APP-003 | صفحة 10 / 50 | 2026-09-05</w:t>
      </w:r>
    </w:p>
    <w:p>
      <w:r>
        <w:br w:type="page"/>
      </w:r>
    </w:p>
    <w:p>
      <w:pPr>
        <w:spacing w:before="0" w:after="20" w:line="247" w:lineRule="auto"/>
        <w:jc w:val="right"/>
        <w:bidi w:val="1"/>
      </w:pPr>
      <w:r>
        <w:rPr>
          <w:rFonts w:ascii="Noto Sans Arabic" w:hAnsi="Noto Sans Arabic" w:eastAsia="Noto Sans Arabic"/>
          <w:b/>
          <w:sz w:val="29"/>
        </w:rPr>
        <w:t>الصفحة 11 - السبعينيات والثمانينيات</w:t>
      </w:r>
    </w:p>
    <w:p>
      <w:pPr>
        <w:spacing w:before="0" w:after="80" w:line="247" w:lineRule="auto"/>
        <w:jc w:val="right"/>
        <w:bidi w:val="1"/>
      </w:pPr>
      <w:r>
        <w:rPr>
          <w:rFonts w:ascii="Noto Sans Arabic" w:hAnsi="Noto Sans Arabic" w:eastAsia="Noto Sans Arabic"/>
          <w:b/>
          <w:sz w:val="20"/>
        </w:rPr>
        <w:t>الإلكترونيات والاتصالات المتنقلة</w:t>
      </w:r>
    </w:p>
    <w:p>
      <w:pPr>
        <w:spacing w:before="0" w:after="80" w:line="247" w:lineRule="auto"/>
        <w:jc w:val="right"/>
        <w:bidi w:val="1"/>
      </w:pPr>
      <w:r>
        <w:rPr>
          <w:rFonts w:ascii="Noto Sans Arabic" w:hAnsi="Noto Sans Arabic" w:eastAsia="Noto Sans Arabic"/>
          <w:b w:val="0"/>
          <w:sz w:val="19"/>
        </w:rPr>
        <w:t>في السبعينيات اتسع حضور الإلكترونيات والاتصالات. مع دخول NMT في 1981 وMobira Cityman في 1987 بدأت البنية التي ستصبح لاحقاً مركزاً عالمياً للأجهزة المحمولة. وفق منهج GSOS، هذه ليست 'قفزة واحدة' بل تراكم capability ثم market fit.</w:t>
      </w:r>
    </w:p>
    <w:p>
      <w:pPr>
        <w:pStyle w:val="ListBullet"/>
        <w:spacing w:after="24" w:line="240" w:lineRule="auto"/>
        <w:ind w:left="288" w:right="144"/>
        <w:jc w:val="right"/>
        <w:bidi w:val="1"/>
      </w:pPr>
      <w:r>
        <w:rPr>
          <w:rFonts w:ascii="Noto Sans Arabic" w:hAnsi="Noto Sans Arabic" w:eastAsia="Noto Sans Arabic"/>
          <w:sz w:val="18"/>
        </w:rPr>
        <w:t>Capability: electronics</w:t>
      </w:r>
    </w:p>
    <w:p>
      <w:pPr>
        <w:pStyle w:val="ListBullet"/>
        <w:spacing w:after="24" w:line="240" w:lineRule="auto"/>
        <w:ind w:left="288" w:right="144"/>
        <w:jc w:val="right"/>
        <w:bidi w:val="1"/>
      </w:pPr>
      <w:r>
        <w:rPr>
          <w:rFonts w:ascii="Noto Sans Arabic" w:hAnsi="Noto Sans Arabic" w:eastAsia="Noto Sans Arabic"/>
          <w:sz w:val="18"/>
        </w:rPr>
        <w:t>Network linkage: NMT</w:t>
      </w:r>
    </w:p>
    <w:p>
      <w:pPr>
        <w:pStyle w:val="ListBullet"/>
        <w:spacing w:after="24" w:line="240" w:lineRule="auto"/>
        <w:ind w:left="288" w:right="144"/>
        <w:jc w:val="right"/>
        <w:bidi w:val="1"/>
      </w:pPr>
      <w:r>
        <w:rPr>
          <w:rFonts w:ascii="Noto Sans Arabic" w:hAnsi="Noto Sans Arabic" w:eastAsia="Noto Sans Arabic"/>
          <w:sz w:val="18"/>
        </w:rPr>
        <w:t>Product proof: Mobira Cityman</w:t>
      </w:r>
    </w:p>
    <w:p>
      <w:pPr>
        <w:pStyle w:val="ListBullet"/>
        <w:spacing w:after="24" w:line="240" w:lineRule="auto"/>
        <w:ind w:left="288" w:right="144"/>
        <w:jc w:val="right"/>
        <w:bidi w:val="1"/>
      </w:pPr>
      <w:r>
        <w:rPr>
          <w:rFonts w:ascii="Noto Sans Arabic" w:hAnsi="Noto Sans Arabic" w:eastAsia="Noto Sans Arabic"/>
          <w:sz w:val="18"/>
        </w:rPr>
        <w:t>Early signal: mobility becomes strategic</w:t>
      </w:r>
    </w:p>
    <w:p>
      <w:pPr>
        <w:spacing w:before="40" w:after="60"/>
        <w:jc w:val="left"/>
        <w:bidi w:val="0"/>
      </w:pPr>
      <w:r>
        <w:rPr>
          <w:rFonts w:ascii="Aptos" w:hAnsi="Aptos"/>
          <w:i/>
          <w:sz w:val="14"/>
        </w:rPr>
        <w:t>Sources / provenance: M2 p5 + N1</w:t>
      </w:r>
    </w:p>
    <w:p>
      <w:pPr>
        <w:spacing w:before="20" w:after="0"/>
        <w:jc w:val="center"/>
      </w:pPr>
      <w:r>
        <w:rPr>
          <w:rFonts w:ascii="Noto Sans Arabic" w:hAnsi="Noto Sans Arabic" w:eastAsia="Noto Sans Arabic"/>
          <w:b/>
          <w:sz w:val="16"/>
        </w:rPr>
        <w:t>GSOS-APP-003 | صفحة 11 / 50 | 2026-09-05</w:t>
      </w:r>
    </w:p>
    <w:p>
      <w:r>
        <w:br w:type="page"/>
      </w:r>
    </w:p>
    <w:p>
      <w:pPr>
        <w:spacing w:before="0" w:after="20" w:line="247" w:lineRule="auto"/>
        <w:jc w:val="right"/>
        <w:bidi w:val="1"/>
      </w:pPr>
      <w:r>
        <w:rPr>
          <w:rFonts w:ascii="Noto Sans Arabic" w:hAnsi="Noto Sans Arabic" w:eastAsia="Noto Sans Arabic"/>
          <w:b/>
          <w:sz w:val="29"/>
        </w:rPr>
        <w:t>الصفحة 12 - 1990 إلى 1994</w:t>
      </w:r>
    </w:p>
    <w:p>
      <w:pPr>
        <w:spacing w:before="0" w:after="80" w:line="247" w:lineRule="auto"/>
        <w:jc w:val="right"/>
        <w:bidi w:val="1"/>
      </w:pPr>
      <w:r>
        <w:rPr>
          <w:rFonts w:ascii="Noto Sans Arabic" w:hAnsi="Noto Sans Arabic" w:eastAsia="Noto Sans Arabic"/>
          <w:b/>
          <w:sz w:val="20"/>
        </w:rPr>
        <w:t>GSM كإشارة تحول تقني</w:t>
      </w:r>
    </w:p>
    <w:p>
      <w:pPr>
        <w:spacing w:before="0" w:after="80" w:line="247" w:lineRule="auto"/>
        <w:jc w:val="right"/>
        <w:bidi w:val="1"/>
      </w:pPr>
      <w:r>
        <w:rPr>
          <w:rFonts w:ascii="Noto Sans Arabic" w:hAnsi="Noto Sans Arabic" w:eastAsia="Noto Sans Arabic"/>
          <w:b w:val="0"/>
          <w:sz w:val="19"/>
        </w:rPr>
        <w:t>كان الانتقال إلى GSM نقطة مفصلية لأن Nokia لم تعتمد فقط على بيع جهاز، بل دخلت في دورة معيارية وشبكية قابلة للتوسع. في 1994 توسعت سلسلة الهواتف، وفي 1991 ارتبط اسم Nokia بأول مكالمة GSM على شبكة Nokia في فنلندا وفق المادة البحثية.</w:t>
      </w:r>
    </w:p>
    <w:p>
      <w:pPr>
        <w:pStyle w:val="ListBullet"/>
        <w:spacing w:after="24" w:line="240" w:lineRule="auto"/>
        <w:ind w:left="288" w:right="144"/>
        <w:jc w:val="right"/>
        <w:bidi w:val="1"/>
      </w:pPr>
      <w:r>
        <w:rPr>
          <w:rFonts w:ascii="Noto Sans Arabic" w:hAnsi="Noto Sans Arabic" w:eastAsia="Noto Sans Arabic"/>
          <w:sz w:val="18"/>
        </w:rPr>
        <w:t>قراءة أكاديمية: standard alignment + manufacturing scale.</w:t>
      </w:r>
    </w:p>
    <w:p>
      <w:pPr>
        <w:pStyle w:val="ListBullet"/>
        <w:spacing w:after="24" w:line="240" w:lineRule="auto"/>
        <w:ind w:left="288" w:right="144"/>
        <w:jc w:val="right"/>
        <w:bidi w:val="1"/>
      </w:pPr>
      <w:r>
        <w:rPr>
          <w:rFonts w:ascii="Noto Sans Arabic" w:hAnsi="Noto Sans Arabic" w:eastAsia="Noto Sans Arabic"/>
          <w:sz w:val="18"/>
        </w:rPr>
        <w:t>قراءة شعبية: الشركة اختارت موجة تقنية جديدة قبل أن تصبح سوقاً جماهيرياً.</w:t>
      </w:r>
    </w:p>
    <w:p>
      <w:pPr>
        <w:spacing w:before="40" w:after="60"/>
        <w:jc w:val="left"/>
        <w:bidi w:val="0"/>
      </w:pPr>
      <w:r>
        <w:rPr>
          <w:rFonts w:ascii="Aptos" w:hAnsi="Aptos"/>
          <w:i/>
          <w:sz w:val="14"/>
        </w:rPr>
        <w:t>Sources / provenance: M2 p5 + N1</w:t>
      </w:r>
    </w:p>
    <w:p>
      <w:pPr>
        <w:spacing w:before="20" w:after="0"/>
        <w:jc w:val="center"/>
      </w:pPr>
      <w:r>
        <w:rPr>
          <w:rFonts w:ascii="Noto Sans Arabic" w:hAnsi="Noto Sans Arabic" w:eastAsia="Noto Sans Arabic"/>
          <w:b/>
          <w:sz w:val="16"/>
        </w:rPr>
        <w:t>GSOS-APP-003 | صفحة 12 / 50 | 2026-09-05</w:t>
      </w:r>
    </w:p>
    <w:p>
      <w:r>
        <w:br w:type="page"/>
      </w:r>
    </w:p>
    <w:p>
      <w:pPr>
        <w:spacing w:before="0" w:after="20" w:line="247" w:lineRule="auto"/>
        <w:jc w:val="right"/>
        <w:bidi w:val="1"/>
      </w:pPr>
      <w:r>
        <w:rPr>
          <w:rFonts w:ascii="Noto Sans Arabic" w:hAnsi="Noto Sans Arabic" w:eastAsia="Noto Sans Arabic"/>
          <w:b/>
          <w:sz w:val="29"/>
        </w:rPr>
        <w:t>الصفحة 13 - 1995 إلى 1999</w:t>
      </w:r>
    </w:p>
    <w:p>
      <w:pPr>
        <w:spacing w:before="0" w:after="80" w:line="247" w:lineRule="auto"/>
        <w:jc w:val="right"/>
        <w:bidi w:val="1"/>
      </w:pPr>
      <w:r>
        <w:rPr>
          <w:rFonts w:ascii="Noto Sans Arabic" w:hAnsi="Noto Sans Arabic" w:eastAsia="Noto Sans Arabic"/>
          <w:b/>
          <w:sz w:val="20"/>
        </w:rPr>
        <w:t>من الهاتف إلى المنصة الاستهلاكية</w:t>
      </w:r>
    </w:p>
    <w:p>
      <w:pPr>
        <w:spacing w:before="0" w:after="80" w:line="247" w:lineRule="auto"/>
        <w:jc w:val="right"/>
        <w:bidi w:val="1"/>
      </w:pPr>
      <w:r>
        <w:rPr>
          <w:rFonts w:ascii="Noto Sans Arabic" w:hAnsi="Noto Sans Arabic" w:eastAsia="Noto Sans Arabic"/>
          <w:b w:val="0"/>
          <w:sz w:val="19"/>
        </w:rPr>
        <w:t>تجمع الفترة بين توسع الهواتف، Communicator في 1996، والقيادة العالمية التي يشير إليها المصدر في 1998. المهم للـGSOS ليس شعار 'الأكبر' فقط، بل كيفية توافق العلامة والتوزيع والتصنيع والمعيار مع السوق.</w:t>
      </w:r>
    </w:p>
    <w:tbl>
      <w:tblPr>
        <w:tblStyle w:val="TableGrid"/>
        <w:tblW w:type="auto" w:w="0"/>
        <w:jc w:val="center"/>
        <w:tblLook w:firstColumn="1" w:firstRow="1" w:lastColumn="0" w:lastRow="0" w:noHBand="0" w:noVBand="1" w:val="04A0"/>
      </w:tblPr>
      <w:tblGrid>
        <w:gridCol w:w="5256"/>
        <w:gridCol w:w="5256"/>
      </w:tblGrid>
      <w:tr>
        <w:tc>
          <w:tcPr>
            <w:tcW w:type="dxa" w:w="5256"/>
            <w:shd w:fill="D9E2F3"/>
            <w:vAlign w:val="center"/>
          </w:tcPr>
          <w:p>
            <w:pPr>
              <w:jc w:val="center"/>
            </w:pPr>
            <w:r/>
            <w:r>
              <w:rPr>
                <w:rFonts w:ascii="Noto Sans Arabic" w:hAnsi="Noto Sans Arabic" w:eastAsia="Noto Sans Arabic"/>
                <w:b/>
                <w:sz w:val="16"/>
              </w:rPr>
              <w:t>السنة</w:t>
            </w:r>
          </w:p>
        </w:tc>
        <w:tc>
          <w:tcPr>
            <w:tcW w:type="dxa" w:w="5256"/>
            <w:shd w:fill="D9E2F3"/>
            <w:vAlign w:val="center"/>
          </w:tcPr>
          <w:p>
            <w:pPr>
              <w:jc w:val="center"/>
            </w:pPr>
            <w:r/>
            <w:r>
              <w:rPr>
                <w:rFonts w:ascii="Noto Sans Arabic" w:hAnsi="Noto Sans Arabic" w:eastAsia="Noto Sans Arabic"/>
                <w:b/>
                <w:sz w:val="16"/>
              </w:rPr>
              <w:t>المؤشر</w:t>
            </w:r>
          </w:p>
        </w:tc>
        <w:trPr>
          <w:tblHeader/>
        </w:trPr>
      </w:tr>
      <w:tr>
        <w:tc>
          <w:tcPr>
            <w:tcW w:type="dxa" w:w="5256"/>
          </w:tcPr>
          <w:p>
            <w:pPr>
              <w:jc w:val="center"/>
            </w:pPr>
            <w:r/>
            <w:r>
              <w:rPr>
                <w:rFonts w:ascii="Noto Sans Arabic" w:hAnsi="Noto Sans Arabic" w:eastAsia="Noto Sans Arabic"/>
                <w:sz w:val="16"/>
              </w:rPr>
              <w:t>1996</w:t>
            </w:r>
          </w:p>
        </w:tc>
        <w:tc>
          <w:tcPr>
            <w:tcW w:type="dxa" w:w="5256"/>
          </w:tcPr>
          <w:p>
            <w:pPr>
              <w:jc w:val="center"/>
            </w:pPr>
            <w:r/>
            <w:r>
              <w:rPr>
                <w:rFonts w:ascii="Noto Sans Arabic" w:hAnsi="Noto Sans Arabic" w:eastAsia="Noto Sans Arabic"/>
                <w:sz w:val="16"/>
              </w:rPr>
              <w:t>Nokia 9000 Communicator</w:t>
            </w:r>
          </w:p>
        </w:tc>
      </w:tr>
      <w:tr>
        <w:tc>
          <w:tcPr>
            <w:tcW w:type="dxa" w:w="5256"/>
          </w:tcPr>
          <w:p>
            <w:pPr>
              <w:jc w:val="center"/>
            </w:pPr>
            <w:r/>
            <w:r>
              <w:rPr>
                <w:rFonts w:ascii="Noto Sans Arabic" w:hAnsi="Noto Sans Arabic" w:eastAsia="Noto Sans Arabic"/>
                <w:sz w:val="16"/>
              </w:rPr>
              <w:t>1998</w:t>
            </w:r>
          </w:p>
        </w:tc>
        <w:tc>
          <w:tcPr>
            <w:tcW w:type="dxa" w:w="5256"/>
          </w:tcPr>
          <w:p>
            <w:pPr>
              <w:jc w:val="center"/>
            </w:pPr>
            <w:r/>
            <w:r>
              <w:rPr>
                <w:rFonts w:ascii="Noto Sans Arabic" w:hAnsi="Noto Sans Arabic" w:eastAsia="Noto Sans Arabic"/>
                <w:sz w:val="16"/>
              </w:rPr>
              <w:t>قيادة عالمية في الهواتف وفق Nokia history</w:t>
            </w:r>
          </w:p>
        </w:tc>
      </w:tr>
      <w:tr>
        <w:tc>
          <w:tcPr>
            <w:tcW w:type="dxa" w:w="5256"/>
          </w:tcPr>
          <w:p>
            <w:pPr>
              <w:jc w:val="center"/>
            </w:pPr>
            <w:r/>
            <w:r>
              <w:rPr>
                <w:rFonts w:ascii="Noto Sans Arabic" w:hAnsi="Noto Sans Arabic" w:eastAsia="Noto Sans Arabic"/>
                <w:sz w:val="16"/>
              </w:rPr>
              <w:t>1999</w:t>
            </w:r>
          </w:p>
        </w:tc>
        <w:tc>
          <w:tcPr>
            <w:tcW w:type="dxa" w:w="5256"/>
          </w:tcPr>
          <w:p>
            <w:pPr>
              <w:jc w:val="center"/>
            </w:pPr>
            <w:r/>
            <w:r>
              <w:rPr>
                <w:rFonts w:ascii="Noto Sans Arabic" w:hAnsi="Noto Sans Arabic" w:eastAsia="Noto Sans Arabic"/>
                <w:sz w:val="16"/>
              </w:rPr>
              <w:t>WAP-era products</w:t>
            </w:r>
          </w:p>
        </w:tc>
      </w:tr>
      <w:tr>
        <w:tc>
          <w:tcPr>
            <w:tcW w:type="dxa" w:w="5256"/>
          </w:tcPr>
          <w:p>
            <w:pPr>
              <w:jc w:val="center"/>
            </w:pPr>
            <w:r/>
            <w:r>
              <w:rPr>
                <w:rFonts w:ascii="Noto Sans Arabic" w:hAnsi="Noto Sans Arabic" w:eastAsia="Noto Sans Arabic"/>
                <w:sz w:val="16"/>
              </w:rPr>
              <w:t>2000</w:t>
            </w:r>
          </w:p>
        </w:tc>
        <w:tc>
          <w:tcPr>
            <w:tcW w:type="dxa" w:w="5256"/>
          </w:tcPr>
          <w:p>
            <w:pPr>
              <w:jc w:val="center"/>
            </w:pPr>
            <w:r/>
            <w:r>
              <w:rPr>
                <w:rFonts w:ascii="Noto Sans Arabic" w:hAnsi="Noto Sans Arabic" w:eastAsia="Noto Sans Arabic"/>
                <w:sz w:val="16"/>
              </w:rPr>
              <w:t>Nokia 3310 من أشهر الهواتف الجماهيرية</w:t>
            </w:r>
          </w:p>
        </w:tc>
      </w:tr>
    </w:tbl>
    <w:p>
      <w:pPr>
        <w:spacing w:after="20"/>
      </w:pPr>
    </w:p>
    <w:p>
      <w:pPr>
        <w:spacing w:before="40" w:after="60"/>
        <w:jc w:val="left"/>
        <w:bidi w:val="0"/>
      </w:pPr>
      <w:r>
        <w:rPr>
          <w:rFonts w:ascii="Aptos" w:hAnsi="Aptos"/>
          <w:i/>
          <w:sz w:val="14"/>
        </w:rPr>
        <w:t>Sources / provenance: M2 p6 + N1</w:t>
      </w:r>
    </w:p>
    <w:p>
      <w:pPr>
        <w:spacing w:before="20" w:after="0"/>
        <w:jc w:val="center"/>
      </w:pPr>
      <w:r>
        <w:rPr>
          <w:rFonts w:ascii="Noto Sans Arabic" w:hAnsi="Noto Sans Arabic" w:eastAsia="Noto Sans Arabic"/>
          <w:b/>
          <w:sz w:val="16"/>
        </w:rPr>
        <w:t>GSOS-APP-003 | صفحة 13 / 50 | 2026-09-05</w:t>
      </w:r>
    </w:p>
    <w:p>
      <w:r>
        <w:br w:type="page"/>
      </w:r>
    </w:p>
    <w:p>
      <w:pPr>
        <w:spacing w:before="0" w:after="20" w:line="247" w:lineRule="auto"/>
        <w:jc w:val="right"/>
        <w:bidi w:val="1"/>
      </w:pPr>
      <w:r>
        <w:rPr>
          <w:rFonts w:ascii="Noto Sans Arabic" w:hAnsi="Noto Sans Arabic" w:eastAsia="Noto Sans Arabic"/>
          <w:b/>
          <w:sz w:val="29"/>
        </w:rPr>
        <w:t>الصفحة 14 - 2007: ذروة الحجم وبداية الإنذار</w:t>
      </w:r>
    </w:p>
    <w:p>
      <w:pPr>
        <w:spacing w:before="0" w:after="80" w:line="247" w:lineRule="auto"/>
        <w:jc w:val="right"/>
        <w:bidi w:val="1"/>
      </w:pPr>
      <w:r>
        <w:rPr>
          <w:rFonts w:ascii="Noto Sans Arabic" w:hAnsi="Noto Sans Arabic" w:eastAsia="Noto Sans Arabic"/>
          <w:b/>
          <w:sz w:val="20"/>
        </w:rPr>
        <w:t>النجاح قد يخفي تغيير قواعد اللعبة</w:t>
      </w:r>
    </w:p>
    <w:p>
      <w:pPr>
        <w:spacing w:before="0" w:after="80" w:line="247" w:lineRule="auto"/>
        <w:jc w:val="right"/>
        <w:bidi w:val="1"/>
      </w:pPr>
      <w:r>
        <w:rPr>
          <w:rFonts w:ascii="Noto Sans Arabic" w:hAnsi="Noto Sans Arabic" w:eastAsia="Noto Sans Arabic"/>
          <w:b w:val="0"/>
          <w:sz w:val="19"/>
        </w:rPr>
        <w:t>تقرير Nokia لعام 2007 يذكر صافي مبيعات قدره EUR 51.058bn، مع استمرار قوة Mobile Phones وارتفاع Multimedia وEnterprise Solutions. في الوقت نفسه، كان السوق يتحول من hardware-centric إلى smartphone/platform-centric. لذلك يميز GSOS بين قوة النتيجة الحالية وبين جودة موقع الشركة أمام التحول القادم.</w:t>
      </w:r>
    </w:p>
    <w:p>
      <w:pPr>
        <w:jc w:val="center"/>
      </w:pPr>
      <w:r>
        <w:drawing>
          <wp:inline xmlns:a="http://schemas.openxmlformats.org/drawingml/2006/main" xmlns:pic="http://schemas.openxmlformats.org/drawingml/2006/picture">
            <wp:extent cx="5669280" cy="3033919"/>
            <wp:docPr id="2" name="Picture 2" descr="Image: image2.png"/>
            <wp:cNvGraphicFramePr>
              <a:graphicFrameLocks noChangeAspect="1"/>
            </wp:cNvGraphicFramePr>
            <a:graphic>
              <a:graphicData uri="http://schemas.openxmlformats.org/drawingml/2006/picture">
                <pic:pic>
                  <pic:nvPicPr>
                    <pic:cNvPr id="0" name="02_sales.png"/>
                    <pic:cNvPicPr/>
                  </pic:nvPicPr>
                  <pic:blipFill>
                    <a:blip r:embed="rId10"/>
                    <a:stretch>
                      <a:fillRect/>
                    </a:stretch>
                  </pic:blipFill>
                  <pic:spPr>
                    <a:xfrm>
                      <a:off x="0" y="0"/>
                      <a:ext cx="5669280" cy="3033919"/>
                    </a:xfrm>
                    <a:prstGeom prst="rect"/>
                  </pic:spPr>
                </pic:pic>
              </a:graphicData>
            </a:graphic>
          </wp:inline>
        </w:drawing>
      </w:r>
    </w:p>
    <w:p>
      <w:pPr>
        <w:spacing w:after="40"/>
        <w:jc w:val="center"/>
        <w:bidi w:val="1"/>
      </w:pPr>
      <w:r>
        <w:rPr>
          <w:rFonts w:ascii="Noto Sans Arabic" w:hAnsi="Noto Sans Arabic" w:eastAsia="Noto Sans Arabic"/>
          <w:b w:val="0"/>
          <w:sz w:val="16"/>
        </w:rPr>
        <w:t>الأرقام ليست مقارنة محاسبية مباشرة عبر الزمن؛ 2007 و2024-2025 ينتميان إلى هياكل أعمال مختلفة.</w:t>
      </w:r>
    </w:p>
    <w:p>
      <w:pPr>
        <w:spacing w:before="40" w:after="60"/>
        <w:jc w:val="left"/>
        <w:bidi w:val="0"/>
      </w:pPr>
      <w:r>
        <w:rPr>
          <w:rFonts w:ascii="Aptos" w:hAnsi="Aptos"/>
          <w:i/>
          <w:sz w:val="14"/>
        </w:rPr>
        <w:t>Sources / provenance: N17 + N5 + M2</w:t>
      </w:r>
    </w:p>
    <w:p>
      <w:pPr>
        <w:spacing w:before="20" w:after="0"/>
        <w:jc w:val="center"/>
      </w:pPr>
      <w:r>
        <w:rPr>
          <w:rFonts w:ascii="Noto Sans Arabic" w:hAnsi="Noto Sans Arabic" w:eastAsia="Noto Sans Arabic"/>
          <w:b/>
          <w:sz w:val="16"/>
        </w:rPr>
        <w:t>GSOS-APP-003 | صفحة 14 / 50 | 2026-09-05</w:t>
      </w:r>
    </w:p>
    <w:p>
      <w:r>
        <w:br w:type="page"/>
      </w:r>
    </w:p>
    <w:p>
      <w:pPr>
        <w:spacing w:before="0" w:after="20" w:line="247" w:lineRule="auto"/>
        <w:jc w:val="right"/>
        <w:bidi w:val="1"/>
      </w:pPr>
      <w:r>
        <w:rPr>
          <w:rFonts w:ascii="Noto Sans Arabic" w:hAnsi="Noto Sans Arabic" w:eastAsia="Noto Sans Arabic"/>
          <w:b/>
          <w:sz w:val="29"/>
        </w:rPr>
        <w:t>الصفحة 15 - تشبع نموذج الهاتف</w:t>
      </w:r>
    </w:p>
    <w:p>
      <w:pPr>
        <w:spacing w:before="0" w:after="80" w:line="247" w:lineRule="auto"/>
        <w:jc w:val="right"/>
        <w:bidi w:val="1"/>
      </w:pPr>
      <w:r>
        <w:rPr>
          <w:rFonts w:ascii="Noto Sans Arabic" w:hAnsi="Noto Sans Arabic" w:eastAsia="Noto Sans Arabic"/>
          <w:b/>
          <w:sz w:val="20"/>
        </w:rPr>
        <w:t>عندما لا يعود التفوق في الجهاز كافياً</w:t>
      </w:r>
    </w:p>
    <w:p>
      <w:pPr>
        <w:spacing w:before="0" w:after="80" w:line="247" w:lineRule="auto"/>
        <w:jc w:val="right"/>
        <w:bidi w:val="1"/>
      </w:pPr>
      <w:r>
        <w:rPr>
          <w:rFonts w:ascii="Noto Sans Arabic" w:hAnsi="Noto Sans Arabic" w:eastAsia="Noto Sans Arabic"/>
          <w:b w:val="0"/>
          <w:sz w:val="19"/>
        </w:rPr>
        <w:t>المصدر السابق يشرح أن نجاح Nokia في الهواتف ارتكز على scale والتوزيع والعلاقات مع المشغلين والعلامة والجودة وفهم GSM. لكن هذه الميزات لا تنتقل تلقائياً إلى حرب المنصات عندما يصبح النظام والتطبيقات والمطورون والخدمات السحابية عوامل مركزية.</w:t>
      </w:r>
    </w:p>
    <w:p>
      <w:pPr>
        <w:pStyle w:val="ListBullet"/>
        <w:spacing w:after="24" w:line="240" w:lineRule="auto"/>
        <w:ind w:left="288" w:right="144"/>
        <w:jc w:val="right"/>
        <w:bidi w:val="1"/>
      </w:pPr>
      <w:r>
        <w:rPr>
          <w:rFonts w:ascii="Noto Sans Arabic" w:hAnsi="Noto Sans Arabic" w:eastAsia="Noto Sans Arabic"/>
          <w:sz w:val="18"/>
        </w:rPr>
        <w:t>ميزة الأمس: scale</w:t>
      </w:r>
    </w:p>
    <w:p>
      <w:pPr>
        <w:pStyle w:val="ListBullet"/>
        <w:spacing w:after="24" w:line="240" w:lineRule="auto"/>
        <w:ind w:left="288" w:right="144"/>
        <w:jc w:val="right"/>
        <w:bidi w:val="1"/>
      </w:pPr>
      <w:r>
        <w:rPr>
          <w:rFonts w:ascii="Noto Sans Arabic" w:hAnsi="Noto Sans Arabic" w:eastAsia="Noto Sans Arabic"/>
          <w:sz w:val="18"/>
        </w:rPr>
        <w:t>قاعدة المنافسة الجديدة: ecosystem</w:t>
      </w:r>
    </w:p>
    <w:p>
      <w:pPr>
        <w:pStyle w:val="ListBullet"/>
        <w:spacing w:after="24" w:line="240" w:lineRule="auto"/>
        <w:ind w:left="288" w:right="144"/>
        <w:jc w:val="right"/>
        <w:bidi w:val="1"/>
      </w:pPr>
      <w:r>
        <w:rPr>
          <w:rFonts w:ascii="Noto Sans Arabic" w:hAnsi="Noto Sans Arabic" w:eastAsia="Noto Sans Arabic"/>
          <w:sz w:val="18"/>
        </w:rPr>
        <w:t>خطر GSOS: استمرار وزن المؤشر القديم بعد تغير البيئة</w:t>
      </w:r>
    </w:p>
    <w:p>
      <w:pPr>
        <w:spacing w:before="40" w:after="60"/>
        <w:jc w:val="left"/>
        <w:bidi w:val="0"/>
      </w:pPr>
      <w:r>
        <w:rPr>
          <w:rFonts w:ascii="Aptos" w:hAnsi="Aptos"/>
          <w:i/>
          <w:sz w:val="14"/>
        </w:rPr>
        <w:t>Sources / provenance: M2 pp43-44 + N15-N16</w:t>
      </w:r>
    </w:p>
    <w:p>
      <w:pPr>
        <w:spacing w:before="20" w:after="0"/>
        <w:jc w:val="center"/>
      </w:pPr>
      <w:r>
        <w:rPr>
          <w:rFonts w:ascii="Noto Sans Arabic" w:hAnsi="Noto Sans Arabic" w:eastAsia="Noto Sans Arabic"/>
          <w:b/>
          <w:sz w:val="16"/>
        </w:rPr>
        <w:t>GSOS-APP-003 | صفحة 15 / 50 | 2026-09-05</w:t>
      </w:r>
    </w:p>
    <w:p>
      <w:r>
        <w:br w:type="page"/>
      </w:r>
    </w:p>
    <w:p>
      <w:pPr>
        <w:spacing w:before="0" w:after="20" w:line="247" w:lineRule="auto"/>
        <w:jc w:val="right"/>
        <w:bidi w:val="1"/>
      </w:pPr>
      <w:r>
        <w:rPr>
          <w:rFonts w:ascii="Noto Sans Arabic" w:hAnsi="Noto Sans Arabic" w:eastAsia="Noto Sans Arabic"/>
          <w:b/>
          <w:sz w:val="29"/>
        </w:rPr>
        <w:t>الصفحة 16 - 2009-2010</w:t>
      </w:r>
    </w:p>
    <w:p>
      <w:pPr>
        <w:spacing w:before="0" w:after="80" w:line="247" w:lineRule="auto"/>
        <w:jc w:val="right"/>
        <w:bidi w:val="1"/>
      </w:pPr>
      <w:r>
        <w:rPr>
          <w:rFonts w:ascii="Noto Sans Arabic" w:hAnsi="Noto Sans Arabic" w:eastAsia="Noto Sans Arabic"/>
          <w:b/>
          <w:sz w:val="20"/>
        </w:rPr>
        <w:t>إشارة كمية إلى بداية تآكل القيادة</w:t>
      </w:r>
    </w:p>
    <w:p>
      <w:pPr>
        <w:spacing w:before="0" w:after="80" w:line="247" w:lineRule="auto"/>
        <w:jc w:val="right"/>
        <w:bidi w:val="1"/>
      </w:pPr>
      <w:r>
        <w:rPr>
          <w:rFonts w:ascii="Noto Sans Arabic" w:hAnsi="Noto Sans Arabic" w:eastAsia="Noto Sans Arabic"/>
          <w:b w:val="0"/>
          <w:sz w:val="19"/>
        </w:rPr>
        <w:t>وفق مراجعة Nokia لعام 2010، بلغ حجم أجهزة Nokia 452.9 مليون وحدة، بينما قدر نصيبها من سوق الأجهزة المحمولة بنحو 32% مقابل 34% في 2009. وفي converged mobile devices قدر النصيب بـ36% مقابل 39%. هذه أرقام قابلة للاختبار وهي أفضل بكثير من وصف مبهم مثل 'بدأت Nokia في التراجع'.</w:t>
      </w:r>
    </w:p>
    <w:p>
      <w:pPr>
        <w:jc w:val="center"/>
      </w:pPr>
      <w:r>
        <w:drawing>
          <wp:inline xmlns:a="http://schemas.openxmlformats.org/drawingml/2006/main" xmlns:pic="http://schemas.openxmlformats.org/drawingml/2006/picture">
            <wp:extent cx="5669280" cy="3033919"/>
            <wp:docPr id="3" name="Picture 3" descr="Image: image3.png"/>
            <wp:cNvGraphicFramePr>
              <a:graphicFrameLocks noChangeAspect="1"/>
            </wp:cNvGraphicFramePr>
            <a:graphic>
              <a:graphicData uri="http://schemas.openxmlformats.org/drawingml/2006/picture">
                <pic:pic>
                  <pic:nvPicPr>
                    <pic:cNvPr id="0" name="03_market_share.png"/>
                    <pic:cNvPicPr/>
                  </pic:nvPicPr>
                  <pic:blipFill>
                    <a:blip r:embed="rId11"/>
                    <a:stretch>
                      <a:fillRect/>
                    </a:stretch>
                  </pic:blipFill>
                  <pic:spPr>
                    <a:xfrm>
                      <a:off x="0" y="0"/>
                      <a:ext cx="5669280" cy="3033919"/>
                    </a:xfrm>
                    <a:prstGeom prst="rect"/>
                  </pic:spPr>
                </pic:pic>
              </a:graphicData>
            </a:graphic>
          </wp:inline>
        </w:drawing>
      </w:r>
    </w:p>
    <w:p>
      <w:pPr>
        <w:spacing w:after="40"/>
        <w:jc w:val="center"/>
        <w:bidi w:val="1"/>
      </w:pPr>
      <w:r>
        <w:rPr>
          <w:rFonts w:ascii="Noto Sans Arabic" w:hAnsi="Noto Sans Arabic" w:eastAsia="Noto Sans Arabic"/>
          <w:b w:val="0"/>
          <w:sz w:val="16"/>
        </w:rPr>
        <w:t>حصة سوق الأجهزة المحمولة كما قدرتها Nokia باستخدام تعريفها المنقح.</w:t>
      </w:r>
    </w:p>
    <w:p>
      <w:pPr>
        <w:spacing w:before="40" w:after="60"/>
        <w:jc w:val="left"/>
        <w:bidi w:val="0"/>
      </w:pPr>
      <w:r>
        <w:rPr>
          <w:rFonts w:ascii="Aptos" w:hAnsi="Aptos"/>
          <w:i/>
          <w:sz w:val="14"/>
        </w:rPr>
        <w:t>Sources / provenance: N14</w:t>
      </w:r>
    </w:p>
    <w:p>
      <w:pPr>
        <w:spacing w:before="20" w:after="0"/>
        <w:jc w:val="center"/>
      </w:pPr>
      <w:r>
        <w:rPr>
          <w:rFonts w:ascii="Noto Sans Arabic" w:hAnsi="Noto Sans Arabic" w:eastAsia="Noto Sans Arabic"/>
          <w:b/>
          <w:sz w:val="16"/>
        </w:rPr>
        <w:t>GSOS-APP-003 | صفحة 16 / 50 | 2026-09-05</w:t>
      </w:r>
    </w:p>
    <w:p>
      <w:r>
        <w:br w:type="page"/>
      </w:r>
    </w:p>
    <w:p>
      <w:pPr>
        <w:spacing w:before="0" w:after="20" w:line="247" w:lineRule="auto"/>
        <w:jc w:val="right"/>
        <w:bidi w:val="1"/>
      </w:pPr>
      <w:r>
        <w:rPr>
          <w:rFonts w:ascii="Noto Sans Arabic" w:hAnsi="Noto Sans Arabic" w:eastAsia="Noto Sans Arabic"/>
          <w:b/>
          <w:sz w:val="29"/>
        </w:rPr>
        <w:t>الصفحة 17 - الهواتف المتقاربة</w:t>
      </w:r>
    </w:p>
    <w:p>
      <w:pPr>
        <w:spacing w:before="0" w:after="80" w:line="247" w:lineRule="auto"/>
        <w:jc w:val="right"/>
        <w:bidi w:val="1"/>
      </w:pPr>
      <w:r>
        <w:rPr>
          <w:rFonts w:ascii="Noto Sans Arabic" w:hAnsi="Noto Sans Arabic" w:eastAsia="Noto Sans Arabic"/>
          <w:b/>
          <w:sz w:val="20"/>
        </w:rPr>
        <w:t>الأرقام تبين التغير في نوع الطلب</w:t>
      </w:r>
    </w:p>
    <w:p>
      <w:pPr>
        <w:spacing w:before="0" w:after="80" w:line="247" w:lineRule="auto"/>
        <w:jc w:val="right"/>
        <w:bidi w:val="1"/>
      </w:pPr>
      <w:r>
        <w:rPr>
          <w:rFonts w:ascii="Noto Sans Arabic" w:hAnsi="Noto Sans Arabic" w:eastAsia="Noto Sans Arabic"/>
          <w:b w:val="0"/>
          <w:sz w:val="19"/>
        </w:rPr>
        <w:t>تراجع حصة Nokia في converged devices من تقدير 39% في 2009 إلى 36% في 2010، رغم بقاء الحجم الكلي للشركة ضخماً. هذا فرق مهم للمختبر: قد تنمو الشركة في وحدة قياس كلية بينما تضعف في المسار الذي يقود القيمة المستقبلية.</w:t>
      </w:r>
    </w:p>
    <w:p>
      <w:pPr>
        <w:jc w:val="center"/>
      </w:pPr>
      <w:r>
        <w:drawing>
          <wp:inline xmlns:a="http://schemas.openxmlformats.org/drawingml/2006/main" xmlns:pic="http://schemas.openxmlformats.org/drawingml/2006/picture">
            <wp:extent cx="5669280" cy="3033919"/>
            <wp:docPr id="4" name="Picture 4" descr="Image: image4.png"/>
            <wp:cNvGraphicFramePr>
              <a:graphicFrameLocks noChangeAspect="1"/>
            </wp:cNvGraphicFramePr>
            <a:graphic>
              <a:graphicData uri="http://schemas.openxmlformats.org/drawingml/2006/picture">
                <pic:pic>
                  <pic:nvPicPr>
                    <pic:cNvPr id="0" name="04_conv_share.png"/>
                    <pic:cNvPicPr/>
                  </pic:nvPicPr>
                  <pic:blipFill>
                    <a:blip r:embed="rId12"/>
                    <a:stretch>
                      <a:fillRect/>
                    </a:stretch>
                  </pic:blipFill>
                  <pic:spPr>
                    <a:xfrm>
                      <a:off x="0" y="0"/>
                      <a:ext cx="5669280" cy="3033919"/>
                    </a:xfrm>
                    <a:prstGeom prst="rect"/>
                  </pic:spPr>
                </pic:pic>
              </a:graphicData>
            </a:graphic>
          </wp:inline>
        </w:drawing>
      </w:r>
    </w:p>
    <w:p>
      <w:pPr>
        <w:spacing w:after="40"/>
        <w:jc w:val="center"/>
        <w:bidi w:val="1"/>
      </w:pPr>
      <w:r>
        <w:rPr>
          <w:rFonts w:ascii="Noto Sans Arabic" w:hAnsi="Noto Sans Arabic" w:eastAsia="Noto Sans Arabic"/>
          <w:b w:val="0"/>
          <w:sz w:val="16"/>
        </w:rPr>
        <w:t>الانخفاض هنا إشارة إنذار استراتيجية وليس حكماً على الشركة كلها.</w:t>
      </w:r>
    </w:p>
    <w:p>
      <w:pPr>
        <w:spacing w:before="40" w:after="60"/>
        <w:jc w:val="left"/>
        <w:bidi w:val="0"/>
      </w:pPr>
      <w:r>
        <w:rPr>
          <w:rFonts w:ascii="Aptos" w:hAnsi="Aptos"/>
          <w:i/>
          <w:sz w:val="14"/>
        </w:rPr>
        <w:t>Sources / provenance: N14</w:t>
      </w:r>
    </w:p>
    <w:p>
      <w:pPr>
        <w:spacing w:before="20" w:after="0"/>
        <w:jc w:val="center"/>
      </w:pPr>
      <w:r>
        <w:rPr>
          <w:rFonts w:ascii="Noto Sans Arabic" w:hAnsi="Noto Sans Arabic" w:eastAsia="Noto Sans Arabic"/>
          <w:b/>
          <w:sz w:val="16"/>
        </w:rPr>
        <w:t>GSOS-APP-003 | صفحة 17 / 50 | 2026-09-05</w:t>
      </w:r>
    </w:p>
    <w:p>
      <w:r>
        <w:br w:type="page"/>
      </w:r>
    </w:p>
    <w:p>
      <w:pPr>
        <w:spacing w:before="0" w:after="20" w:line="247" w:lineRule="auto"/>
        <w:jc w:val="right"/>
        <w:bidi w:val="1"/>
      </w:pPr>
      <w:r>
        <w:rPr>
          <w:rFonts w:ascii="Noto Sans Arabic" w:hAnsi="Noto Sans Arabic" w:eastAsia="Noto Sans Arabic"/>
          <w:b/>
          <w:sz w:val="29"/>
        </w:rPr>
        <w:t>الصفحة 18 - 2011</w:t>
      </w:r>
    </w:p>
    <w:p>
      <w:pPr>
        <w:spacing w:before="0" w:after="80" w:line="247" w:lineRule="auto"/>
        <w:jc w:val="right"/>
        <w:bidi w:val="1"/>
      </w:pPr>
      <w:r>
        <w:rPr>
          <w:rFonts w:ascii="Noto Sans Arabic" w:hAnsi="Noto Sans Arabic" w:eastAsia="Noto Sans Arabic"/>
          <w:b/>
          <w:sz w:val="20"/>
        </w:rPr>
        <w:t>الشركة نفسها تعلن أن المنافسة أصبحت حرب بيئات</w:t>
      </w:r>
    </w:p>
    <w:p>
      <w:pPr>
        <w:spacing w:before="0" w:after="80" w:line="247" w:lineRule="auto"/>
        <w:jc w:val="right"/>
        <w:bidi w:val="1"/>
      </w:pPr>
      <w:r>
        <w:rPr>
          <w:rFonts w:ascii="Noto Sans Arabic" w:hAnsi="Noto Sans Arabic" w:eastAsia="Noto Sans Arabic"/>
          <w:b w:val="0"/>
          <w:sz w:val="19"/>
        </w:rPr>
        <w:t>في وثائق 2011 تشرح Nokia أن المنافسة في الهواتف أصبحت 'war of ecosystems' وأن Android وiOS يرفعان حواجز الدخول. كما أعلنت Nokia في فبراير 2011 الشراكة مع Microsoft وجعل Windows Phone المنصة الأساسية للهواتف الذكية.</w:t>
      </w:r>
    </w:p>
    <w:p>
      <w:pPr>
        <w:pStyle w:val="ListBullet"/>
        <w:spacing w:after="24" w:line="240" w:lineRule="auto"/>
        <w:ind w:left="288" w:right="144"/>
        <w:jc w:val="right"/>
        <w:bidi w:val="1"/>
      </w:pPr>
      <w:r>
        <w:rPr>
          <w:rFonts w:ascii="Noto Sans Arabic" w:hAnsi="Noto Sans Arabic" w:eastAsia="Noto Sans Arabic"/>
          <w:sz w:val="18"/>
        </w:rPr>
        <w:t>هذه الصفحة مثال ممتاز لتجربة GSOS: تصريح رسمي + مؤشر سوق + قرار استراتيجي.</w:t>
      </w:r>
    </w:p>
    <w:p>
      <w:pPr>
        <w:pStyle w:val="ListBullet"/>
        <w:spacing w:after="24" w:line="240" w:lineRule="auto"/>
        <w:ind w:left="288" w:right="144"/>
        <w:jc w:val="right"/>
        <w:bidi w:val="1"/>
      </w:pPr>
      <w:r>
        <w:rPr>
          <w:rFonts w:ascii="Noto Sans Arabic" w:hAnsi="Noto Sans Arabic" w:eastAsia="Noto Sans Arabic"/>
          <w:sz w:val="18"/>
        </w:rPr>
        <w:t>في إعادة الاختبار يجب حفظ ما كان معروفاً في cutoff 2011 ثم منع الاطلاع على 2012-2014 أثناء التنبؤ.</w:t>
      </w:r>
    </w:p>
    <w:p>
      <w:pPr>
        <w:spacing w:before="40" w:after="60"/>
        <w:jc w:val="left"/>
        <w:bidi w:val="0"/>
      </w:pPr>
      <w:r>
        <w:rPr>
          <w:rFonts w:ascii="Aptos" w:hAnsi="Aptos"/>
          <w:i/>
          <w:sz w:val="14"/>
        </w:rPr>
        <w:t>Sources / provenance: N15 + N16 + M2 p8</w:t>
      </w:r>
    </w:p>
    <w:p>
      <w:pPr>
        <w:spacing w:before="20" w:after="0"/>
        <w:jc w:val="center"/>
      </w:pPr>
      <w:r>
        <w:rPr>
          <w:rFonts w:ascii="Noto Sans Arabic" w:hAnsi="Noto Sans Arabic" w:eastAsia="Noto Sans Arabic"/>
          <w:b/>
          <w:sz w:val="16"/>
        </w:rPr>
        <w:t>GSOS-APP-003 | صفحة 18 / 50 | 2026-09-05</w:t>
      </w:r>
    </w:p>
    <w:p>
      <w:r>
        <w:br w:type="page"/>
      </w:r>
    </w:p>
    <w:p>
      <w:pPr>
        <w:spacing w:before="0" w:after="20" w:line="247" w:lineRule="auto"/>
        <w:jc w:val="right"/>
        <w:bidi w:val="1"/>
      </w:pPr>
      <w:r>
        <w:rPr>
          <w:rFonts w:ascii="Noto Sans Arabic" w:hAnsi="Noto Sans Arabic" w:eastAsia="Noto Sans Arabic"/>
          <w:b/>
          <w:sz w:val="29"/>
        </w:rPr>
        <w:t>الصفحة 19 - 2012</w:t>
      </w:r>
    </w:p>
    <w:p>
      <w:pPr>
        <w:spacing w:before="0" w:after="80" w:line="247" w:lineRule="auto"/>
        <w:jc w:val="right"/>
        <w:bidi w:val="1"/>
      </w:pPr>
      <w:r>
        <w:rPr>
          <w:rFonts w:ascii="Noto Sans Arabic" w:hAnsi="Noto Sans Arabic" w:eastAsia="Noto Sans Arabic"/>
          <w:b/>
          <w:sz w:val="20"/>
        </w:rPr>
        <w:t>Lumia كاستجابة، لكن بضغط زمني</w:t>
      </w:r>
    </w:p>
    <w:p>
      <w:pPr>
        <w:spacing w:before="0" w:after="80" w:line="247" w:lineRule="auto"/>
        <w:jc w:val="right"/>
        <w:bidi w:val="1"/>
      </w:pPr>
      <w:r>
        <w:rPr>
          <w:rFonts w:ascii="Noto Sans Arabic" w:hAnsi="Noto Sans Arabic" w:eastAsia="Noto Sans Arabic"/>
          <w:b w:val="0"/>
          <w:sz w:val="19"/>
        </w:rPr>
        <w:t>إطلاق Lumia لم يكن مجرد منتج جديد، بل محاولة لإعادة بناء ecosystem في فترة كان فيها المنافسون قد حققوا زخماً. التجربة الأولى لـGSOS لم تكن مجهزة لقياس 'سرعة التحول' كمتغير صريح؛ لذلك يجب أن تضيف النسخة القادمة lead-time وtime-to-market إلى سجل الأدلة.</w:t>
      </w:r>
    </w:p>
    <w:p>
      <w:pPr>
        <w:pStyle w:val="ListBullet"/>
        <w:spacing w:after="24" w:line="240" w:lineRule="auto"/>
        <w:ind w:left="288" w:right="144"/>
        <w:jc w:val="right"/>
        <w:bidi w:val="1"/>
      </w:pPr>
      <w:r>
        <w:rPr>
          <w:rFonts w:ascii="Noto Sans Arabic" w:hAnsi="Noto Sans Arabic" w:eastAsia="Noto Sans Arabic"/>
          <w:sz w:val="18"/>
        </w:rPr>
        <w:t>متغير جديد: strategic response lag</w:t>
      </w:r>
    </w:p>
    <w:p>
      <w:pPr>
        <w:pStyle w:val="ListBullet"/>
        <w:spacing w:after="24" w:line="240" w:lineRule="auto"/>
        <w:ind w:left="288" w:right="144"/>
        <w:jc w:val="right"/>
        <w:bidi w:val="1"/>
      </w:pPr>
      <w:r>
        <w:rPr>
          <w:rFonts w:ascii="Noto Sans Arabic" w:hAnsi="Noto Sans Arabic" w:eastAsia="Noto Sans Arabic"/>
          <w:sz w:val="18"/>
        </w:rPr>
        <w:t>متغير جديد: ecosystem adoption gap</w:t>
      </w:r>
    </w:p>
    <w:p>
      <w:pPr>
        <w:pStyle w:val="ListBullet"/>
        <w:spacing w:after="24" w:line="240" w:lineRule="auto"/>
        <w:ind w:left="288" w:right="144"/>
        <w:jc w:val="right"/>
        <w:bidi w:val="1"/>
      </w:pPr>
      <w:r>
        <w:rPr>
          <w:rFonts w:ascii="Noto Sans Arabic" w:hAnsi="Noto Sans Arabic" w:eastAsia="Noto Sans Arabic"/>
          <w:sz w:val="18"/>
        </w:rPr>
        <w:t>اختبار: هل الاستجابة اللحظية تكفي عندما تكون المنصة السابقة في تراجع؟</w:t>
      </w:r>
    </w:p>
    <w:p>
      <w:pPr>
        <w:spacing w:before="40" w:after="60"/>
        <w:jc w:val="left"/>
        <w:bidi w:val="0"/>
      </w:pPr>
      <w:r>
        <w:rPr>
          <w:rFonts w:ascii="Aptos" w:hAnsi="Aptos"/>
          <w:i/>
          <w:sz w:val="14"/>
        </w:rPr>
        <w:t>Sources / provenance: M2 p8 + N15-N16</w:t>
      </w:r>
    </w:p>
    <w:p>
      <w:pPr>
        <w:spacing w:before="20" w:after="0"/>
        <w:jc w:val="center"/>
      </w:pPr>
      <w:r>
        <w:rPr>
          <w:rFonts w:ascii="Noto Sans Arabic" w:hAnsi="Noto Sans Arabic" w:eastAsia="Noto Sans Arabic"/>
          <w:b/>
          <w:sz w:val="16"/>
        </w:rPr>
        <w:t>GSOS-APP-003 | صفحة 19 / 50 | 2026-09-05</w:t>
      </w:r>
    </w:p>
    <w:p>
      <w:r>
        <w:br w:type="page"/>
      </w:r>
    </w:p>
    <w:p>
      <w:pPr>
        <w:spacing w:before="0" w:after="20" w:line="247" w:lineRule="auto"/>
        <w:jc w:val="right"/>
        <w:bidi w:val="1"/>
      </w:pPr>
      <w:r>
        <w:rPr>
          <w:rFonts w:ascii="Noto Sans Arabic" w:hAnsi="Noto Sans Arabic" w:eastAsia="Noto Sans Arabic"/>
          <w:b/>
          <w:sz w:val="29"/>
        </w:rPr>
        <w:t>الصفحة 20 - 2013</w:t>
      </w:r>
    </w:p>
    <w:p>
      <w:pPr>
        <w:spacing w:before="0" w:after="80" w:line="247" w:lineRule="auto"/>
        <w:jc w:val="right"/>
        <w:bidi w:val="1"/>
      </w:pPr>
      <w:r>
        <w:rPr>
          <w:rFonts w:ascii="Noto Sans Arabic" w:hAnsi="Noto Sans Arabic" w:eastAsia="Noto Sans Arabic"/>
          <w:b/>
          <w:sz w:val="20"/>
        </w:rPr>
        <w:t>شراء حصة Siemens في NSN</w:t>
      </w:r>
    </w:p>
    <w:p>
      <w:pPr>
        <w:spacing w:before="0" w:after="80" w:line="247" w:lineRule="auto"/>
        <w:jc w:val="right"/>
        <w:bidi w:val="1"/>
      </w:pPr>
      <w:r>
        <w:rPr>
          <w:rFonts w:ascii="Noto Sans Arabic" w:hAnsi="Noto Sans Arabic" w:eastAsia="Noto Sans Arabic"/>
          <w:b w:val="0"/>
          <w:sz w:val="19"/>
        </w:rPr>
        <w:t>في يوليو 2013 أعلنت Nokia شراء كامل حصة Siemens البالغة 50% في Nokia Siemens Networks مقابل EUR 1.7bn. أغلقت الصفقة في أغسطس وأصبحت NSN شركة مملوكة بالكامل لـNokia. في قراءة ما بعد الحدث، يبدو القرار مهماً لأنه جهز أصلاً قائماً يمكن أن يصبح مركز الشركة بعد خروج الهاتف.</w:t>
      </w:r>
    </w:p>
    <w:p>
      <w:pPr>
        <w:pStyle w:val="ListBullet"/>
        <w:spacing w:after="24" w:line="240" w:lineRule="auto"/>
        <w:ind w:left="288" w:right="144"/>
        <w:jc w:val="right"/>
        <w:bidi w:val="1"/>
      </w:pPr>
      <w:r>
        <w:rPr>
          <w:rFonts w:ascii="Noto Sans Arabic" w:hAnsi="Noto Sans Arabic" w:eastAsia="Noto Sans Arabic"/>
          <w:sz w:val="18"/>
        </w:rPr>
        <w:t>دليل القرار: صفقة EUR 1.7bn</w:t>
      </w:r>
    </w:p>
    <w:p>
      <w:pPr>
        <w:pStyle w:val="ListBullet"/>
        <w:spacing w:after="24" w:line="240" w:lineRule="auto"/>
        <w:ind w:left="288" w:right="144"/>
        <w:jc w:val="right"/>
        <w:bidi w:val="1"/>
      </w:pPr>
      <w:r>
        <w:rPr>
          <w:rFonts w:ascii="Noto Sans Arabic" w:hAnsi="Noto Sans Arabic" w:eastAsia="Noto Sans Arabic"/>
          <w:sz w:val="18"/>
        </w:rPr>
        <w:t>دليل الملاءمة: NSN في mobile broadband وLTE</w:t>
      </w:r>
    </w:p>
    <w:p>
      <w:pPr>
        <w:pStyle w:val="ListBullet"/>
        <w:spacing w:after="24" w:line="240" w:lineRule="auto"/>
        <w:ind w:left="288" w:right="144"/>
        <w:jc w:val="right"/>
        <w:bidi w:val="1"/>
      </w:pPr>
      <w:r>
        <w:rPr>
          <w:rFonts w:ascii="Noto Sans Arabic" w:hAnsi="Noto Sans Arabic" w:eastAsia="Noto Sans Arabic"/>
          <w:sz w:val="18"/>
        </w:rPr>
        <w:t>استنتاج GSOS: option value لإعادة تمركز الشركة</w:t>
      </w:r>
    </w:p>
    <w:p>
      <w:pPr>
        <w:spacing w:before="40" w:after="60"/>
        <w:jc w:val="left"/>
        <w:bidi w:val="0"/>
      </w:pPr>
      <w:r>
        <w:rPr>
          <w:rFonts w:ascii="Aptos" w:hAnsi="Aptos"/>
          <w:i/>
          <w:sz w:val="14"/>
        </w:rPr>
        <w:t>Sources / provenance: Nokia 2013 acquisition of Siemens stake + M2 p8</w:t>
      </w:r>
    </w:p>
    <w:p>
      <w:pPr>
        <w:spacing w:before="20" w:after="0"/>
        <w:jc w:val="center"/>
      </w:pPr>
      <w:r>
        <w:rPr>
          <w:rFonts w:ascii="Noto Sans Arabic" w:hAnsi="Noto Sans Arabic" w:eastAsia="Noto Sans Arabic"/>
          <w:b/>
          <w:sz w:val="16"/>
        </w:rPr>
        <w:t>GSOS-APP-003 | صفحة 20 / 50 | 2026-09-05</w:t>
      </w:r>
    </w:p>
    <w:p>
      <w:r>
        <w:br w:type="page"/>
      </w:r>
    </w:p>
    <w:p>
      <w:pPr>
        <w:spacing w:before="0" w:after="20" w:line="247" w:lineRule="auto"/>
        <w:jc w:val="right"/>
        <w:bidi w:val="1"/>
      </w:pPr>
      <w:r>
        <w:rPr>
          <w:rFonts w:ascii="Noto Sans Arabic" w:hAnsi="Noto Sans Arabic" w:eastAsia="Noto Sans Arabic"/>
          <w:b/>
          <w:sz w:val="29"/>
        </w:rPr>
        <w:t>الصفحة 21 - 2014</w:t>
      </w:r>
    </w:p>
    <w:p>
      <w:pPr>
        <w:spacing w:before="0" w:after="80" w:line="247" w:lineRule="auto"/>
        <w:jc w:val="right"/>
        <w:bidi w:val="1"/>
      </w:pPr>
      <w:r>
        <w:rPr>
          <w:rFonts w:ascii="Noto Sans Arabic" w:hAnsi="Noto Sans Arabic" w:eastAsia="Noto Sans Arabic"/>
          <w:b/>
          <w:sz w:val="20"/>
        </w:rPr>
        <w:t>بيع Devices &amp; Services كقطع مسار، لا اختفاء</w:t>
      </w:r>
    </w:p>
    <w:p>
      <w:pPr>
        <w:spacing w:before="0" w:after="80" w:line="247" w:lineRule="auto"/>
        <w:jc w:val="right"/>
        <w:bidi w:val="1"/>
      </w:pPr>
      <w:r>
        <w:rPr>
          <w:rFonts w:ascii="Noto Sans Arabic" w:hAnsi="Noto Sans Arabic" w:eastAsia="Noto Sans Arabic"/>
          <w:b w:val="0"/>
          <w:sz w:val="19"/>
        </w:rPr>
        <w:t>أكملت Nokia في 25 أبريل 2014 بيع معظم Devices &amp; Services إلى Microsoft. أعلنت Nokia أن السعر كان EUR 5.44bn عند الإعلان، مع توقع تعديل نهائي إيجابي طفيف. الحدث يصلح كحالة نموذجية لتدريب GSOS على اكتشاف أن 'بيع النشاط الأشهر' قد يكون بداية إعادة تموضع وليس نهاية الشركة.</w:t>
      </w:r>
    </w:p>
    <w:p>
      <w:pPr>
        <w:pStyle w:val="ListBullet"/>
        <w:spacing w:after="24" w:line="240" w:lineRule="auto"/>
        <w:ind w:left="288" w:right="144"/>
        <w:jc w:val="right"/>
        <w:bidi w:val="1"/>
      </w:pPr>
      <w:r>
        <w:rPr>
          <w:rFonts w:ascii="Noto Sans Arabic" w:hAnsi="Noto Sans Arabic" w:eastAsia="Noto Sans Arabic"/>
          <w:sz w:val="18"/>
        </w:rPr>
        <w:t>ما يعلن: تاريخ الإغلاق، طبيعة الصفقة، السعر المعلن.</w:t>
      </w:r>
    </w:p>
    <w:p>
      <w:pPr>
        <w:pStyle w:val="ListBullet"/>
        <w:spacing w:after="24" w:line="240" w:lineRule="auto"/>
        <w:ind w:left="288" w:right="144"/>
        <w:jc w:val="right"/>
        <w:bidi w:val="1"/>
      </w:pPr>
      <w:r>
        <w:rPr>
          <w:rFonts w:ascii="Noto Sans Arabic" w:hAnsi="Noto Sans Arabic" w:eastAsia="Noto Sans Arabic"/>
          <w:sz w:val="18"/>
        </w:rPr>
        <w:t>ما لا يستنتج مباشرة: نجاح الصفقة وحده لا يثبت نجاح الاستراتيجية الطويلة.</w:t>
      </w:r>
    </w:p>
    <w:p>
      <w:pPr>
        <w:spacing w:before="40" w:after="60"/>
        <w:jc w:val="left"/>
        <w:bidi w:val="0"/>
      </w:pPr>
      <w:r>
        <w:rPr>
          <w:rFonts w:ascii="Aptos" w:hAnsi="Aptos"/>
          <w:i/>
          <w:sz w:val="14"/>
        </w:rPr>
        <w:t>Sources / provenance: N6 + M2 pp8,21,45</w:t>
      </w:r>
    </w:p>
    <w:p>
      <w:pPr>
        <w:spacing w:before="20" w:after="0"/>
        <w:jc w:val="center"/>
      </w:pPr>
      <w:r>
        <w:rPr>
          <w:rFonts w:ascii="Noto Sans Arabic" w:hAnsi="Noto Sans Arabic" w:eastAsia="Noto Sans Arabic"/>
          <w:b/>
          <w:sz w:val="16"/>
        </w:rPr>
        <w:t>GSOS-APP-003 | صفحة 21 / 50 | 2026-09-05</w:t>
      </w:r>
    </w:p>
    <w:p>
      <w:r>
        <w:br w:type="page"/>
      </w:r>
    </w:p>
    <w:p>
      <w:pPr>
        <w:spacing w:before="0" w:after="20" w:line="247" w:lineRule="auto"/>
        <w:jc w:val="right"/>
        <w:bidi w:val="1"/>
      </w:pPr>
      <w:r>
        <w:rPr>
          <w:rFonts w:ascii="Noto Sans Arabic" w:hAnsi="Noto Sans Arabic" w:eastAsia="Noto Sans Arabic"/>
          <w:b/>
          <w:sz w:val="29"/>
        </w:rPr>
        <w:t>الصفحة 22 - 2014 بعد البيع</w:t>
      </w:r>
    </w:p>
    <w:p>
      <w:pPr>
        <w:spacing w:before="0" w:after="80" w:line="247" w:lineRule="auto"/>
        <w:jc w:val="right"/>
        <w:bidi w:val="1"/>
      </w:pPr>
      <w:r>
        <w:rPr>
          <w:rFonts w:ascii="Noto Sans Arabic" w:hAnsi="Noto Sans Arabic" w:eastAsia="Noto Sans Arabic"/>
          <w:b/>
          <w:sz w:val="20"/>
        </w:rPr>
        <w:t>Nokia بثلاثة محاور</w:t>
      </w:r>
    </w:p>
    <w:p>
      <w:pPr>
        <w:spacing w:before="0" w:after="80" w:line="247" w:lineRule="auto"/>
        <w:jc w:val="right"/>
        <w:bidi w:val="1"/>
      </w:pPr>
      <w:r>
        <w:rPr>
          <w:rFonts w:ascii="Noto Sans Arabic" w:hAnsi="Noto Sans Arabic" w:eastAsia="Noto Sans Arabic"/>
          <w:b w:val="0"/>
          <w:sz w:val="19"/>
        </w:rPr>
        <w:t>بعد الصفقة خرجت Nokia بهيكل يتمحور حول Nokia Networks وHERE وNokia Technologies. هذه اللحظة يجب أن تُعامل في المختبر كـregime change: لا يجوز تدريب نموذج المستقبل على أرقام قديمة كما لو أن حدود النشاط لم تتغير.</w:t>
      </w:r>
    </w:p>
    <w:p>
      <w:pPr>
        <w:spacing w:before="40" w:after="60"/>
        <w:jc w:val="left"/>
        <w:bidi w:val="0"/>
      </w:pPr>
      <w:r>
        <w:rPr>
          <w:rFonts w:ascii="Aptos" w:hAnsi="Aptos"/>
          <w:i/>
          <w:sz w:val="14"/>
        </w:rPr>
        <w:t>Sources / provenance: N6 + Nokia 2014 Annual Report cited in source search</w:t>
      </w:r>
    </w:p>
    <w:p>
      <w:pPr>
        <w:spacing w:before="20" w:after="0"/>
        <w:jc w:val="center"/>
      </w:pPr>
      <w:r>
        <w:rPr>
          <w:rFonts w:ascii="Noto Sans Arabic" w:hAnsi="Noto Sans Arabic" w:eastAsia="Noto Sans Arabic"/>
          <w:b/>
          <w:sz w:val="16"/>
        </w:rPr>
        <w:t>GSOS-APP-003 | صفحة 22 / 50 | 2026-09-05</w:t>
      </w:r>
    </w:p>
    <w:p>
      <w:r>
        <w:br w:type="page"/>
      </w:r>
    </w:p>
    <w:p>
      <w:pPr>
        <w:spacing w:before="0" w:after="20" w:line="247" w:lineRule="auto"/>
        <w:jc w:val="right"/>
        <w:bidi w:val="1"/>
      </w:pPr>
      <w:r>
        <w:rPr>
          <w:rFonts w:ascii="Noto Sans Arabic" w:hAnsi="Noto Sans Arabic" w:eastAsia="Noto Sans Arabic"/>
          <w:b/>
          <w:sz w:val="29"/>
        </w:rPr>
        <w:t>الصفحة 23 - 2015-2016</w:t>
      </w:r>
    </w:p>
    <w:p>
      <w:pPr>
        <w:spacing w:before="0" w:after="80" w:line="247" w:lineRule="auto"/>
        <w:jc w:val="right"/>
        <w:bidi w:val="1"/>
      </w:pPr>
      <w:r>
        <w:rPr>
          <w:rFonts w:ascii="Noto Sans Arabic" w:hAnsi="Noto Sans Arabic" w:eastAsia="Noto Sans Arabic"/>
          <w:b/>
          <w:sz w:val="20"/>
        </w:rPr>
        <w:t>Alcatel-Lucent: انتقال من إعادة التموضع إلى إعادة بناء عميقة</w:t>
      </w:r>
    </w:p>
    <w:p>
      <w:pPr>
        <w:spacing w:before="0" w:after="80" w:line="247" w:lineRule="auto"/>
        <w:jc w:val="right"/>
        <w:bidi w:val="1"/>
      </w:pPr>
      <w:r>
        <w:rPr>
          <w:rFonts w:ascii="Noto Sans Arabic" w:hAnsi="Noto Sans Arabic" w:eastAsia="Noto Sans Arabic"/>
          <w:b w:val="0"/>
          <w:sz w:val="19"/>
        </w:rPr>
        <w:t>أعلنت Nokia في 2015 صفقة All-share لقيمة EUR 15.6bn fully diluted لدمج Alcatel-Lucent. وفي 2016 اكتمل الاستحواذ بعد امتلاك ما يقارب 80% في أوائل السنة ثم الوصول للملكية الكاملة في نوفمبر. هذا ليس مجرد acquisition؛ إنه إعادة تركيب لقدرات fixed/IP/optical/mobile وبحث Bell Labs.</w:t>
      </w:r>
    </w:p>
    <w:p>
      <w:pPr>
        <w:jc w:val="center"/>
      </w:pPr>
      <w:r>
        <w:drawing>
          <wp:inline xmlns:a="http://schemas.openxmlformats.org/drawingml/2006/main" xmlns:pic="http://schemas.openxmlformats.org/drawingml/2006/picture">
            <wp:extent cx="5669280" cy="3036097"/>
            <wp:docPr id="5" name="Picture 5" descr="Image: image5.png"/>
            <wp:cNvGraphicFramePr>
              <a:graphicFrameLocks noChangeAspect="1"/>
            </wp:cNvGraphicFramePr>
            <a:graphic>
              <a:graphicData uri="http://schemas.openxmlformats.org/drawingml/2006/picture">
                <pic:pic>
                  <pic:nvPicPr>
                    <pic:cNvPr id="0" name="15_deals.png"/>
                    <pic:cNvPicPr/>
                  </pic:nvPicPr>
                  <pic:blipFill>
                    <a:blip r:embed="rId13"/>
                    <a:stretch>
                      <a:fillRect/>
                    </a:stretch>
                  </pic:blipFill>
                  <pic:spPr>
                    <a:xfrm>
                      <a:off x="0" y="0"/>
                      <a:ext cx="5669280" cy="3036097"/>
                    </a:xfrm>
                    <a:prstGeom prst="rect"/>
                  </pic:spPr>
                </pic:pic>
              </a:graphicData>
            </a:graphic>
          </wp:inline>
        </w:drawing>
      </w:r>
    </w:p>
    <w:p>
      <w:pPr>
        <w:spacing w:after="40"/>
        <w:jc w:val="center"/>
        <w:bidi w:val="1"/>
      </w:pPr>
      <w:r>
        <w:rPr>
          <w:rFonts w:ascii="Noto Sans Arabic" w:hAnsi="Noto Sans Arabic" w:eastAsia="Noto Sans Arabic"/>
          <w:b w:val="0"/>
          <w:sz w:val="16"/>
        </w:rPr>
        <w:t>القيمة المعلنة لـAlcatel-Lucent هي EUR 15.6bn fully diluted.</w:t>
      </w:r>
    </w:p>
    <w:p>
      <w:pPr>
        <w:spacing w:before="40" w:after="60"/>
        <w:jc w:val="left"/>
        <w:bidi w:val="0"/>
      </w:pPr>
      <w:r>
        <w:rPr>
          <w:rFonts w:ascii="Aptos" w:hAnsi="Aptos"/>
          <w:i/>
          <w:sz w:val="14"/>
        </w:rPr>
        <w:t>Sources / provenance: N7 + N2/M2 pp13-17</w:t>
      </w:r>
    </w:p>
    <w:p>
      <w:pPr>
        <w:spacing w:before="20" w:after="0"/>
        <w:jc w:val="center"/>
      </w:pPr>
      <w:r>
        <w:rPr>
          <w:rFonts w:ascii="Noto Sans Arabic" w:hAnsi="Noto Sans Arabic" w:eastAsia="Noto Sans Arabic"/>
          <w:b/>
          <w:sz w:val="16"/>
        </w:rPr>
        <w:t>GSOS-APP-003 | صفحة 23 / 50 | 2026-09-05</w:t>
      </w:r>
    </w:p>
    <w:p>
      <w:r>
        <w:br w:type="page"/>
      </w:r>
    </w:p>
    <w:p>
      <w:pPr>
        <w:spacing w:before="0" w:after="20" w:line="247" w:lineRule="auto"/>
        <w:jc w:val="right"/>
        <w:bidi w:val="1"/>
      </w:pPr>
      <w:r>
        <w:rPr>
          <w:rFonts w:ascii="Noto Sans Arabic" w:hAnsi="Noto Sans Arabic" w:eastAsia="Noto Sans Arabic"/>
          <w:b/>
          <w:sz w:val="29"/>
        </w:rPr>
        <w:t>الصفحة 24 - Bell Labs</w:t>
      </w:r>
    </w:p>
    <w:p>
      <w:pPr>
        <w:spacing w:before="0" w:after="80" w:line="247" w:lineRule="auto"/>
        <w:jc w:val="right"/>
        <w:bidi w:val="1"/>
      </w:pPr>
      <w:r>
        <w:rPr>
          <w:rFonts w:ascii="Noto Sans Arabic" w:hAnsi="Noto Sans Arabic" w:eastAsia="Noto Sans Arabic"/>
          <w:b/>
          <w:sz w:val="20"/>
        </w:rPr>
        <w:t>الأصل المعرفي في الشركة الجديدة</w:t>
      </w:r>
    </w:p>
    <w:p>
      <w:pPr>
        <w:spacing w:before="0" w:after="80" w:line="247" w:lineRule="auto"/>
        <w:jc w:val="right"/>
        <w:bidi w:val="1"/>
      </w:pPr>
      <w:r>
        <w:rPr>
          <w:rFonts w:ascii="Noto Sans Arabic" w:hAnsi="Noto Sans Arabic" w:eastAsia="Noto Sans Arabic"/>
          <w:b w:val="0"/>
          <w:sz w:val="19"/>
        </w:rPr>
        <w:t>بعد Alcatel-Lucent دخل Bell Labs ضمن Nokia. في 2025 احتفل Bell Labs بمئويته، وتذكر Nokia عشرة جوائز نوبل وخمس جوائز Turing. من منظور GSOS، قيمة Bell Labs ليست 'علامة' فقط؛ إنها طبقة R&amp;D طويلة الأجل يمكن أن تنتج إشارات مستقبلية قبل الإيراد.</w:t>
      </w:r>
    </w:p>
    <w:p>
      <w:pPr>
        <w:pStyle w:val="ListBullet"/>
        <w:spacing w:after="24" w:line="240" w:lineRule="auto"/>
        <w:ind w:left="288" w:right="144"/>
        <w:jc w:val="right"/>
        <w:bidi w:val="1"/>
      </w:pPr>
      <w:r>
        <w:rPr>
          <w:rFonts w:ascii="Noto Sans Arabic" w:hAnsi="Noto Sans Arabic" w:eastAsia="Noto Sans Arabic"/>
          <w:sz w:val="18"/>
        </w:rPr>
        <w:t>البحث الأساسي: long horizon</w:t>
      </w:r>
    </w:p>
    <w:p>
      <w:pPr>
        <w:pStyle w:val="ListBullet"/>
        <w:spacing w:after="24" w:line="240" w:lineRule="auto"/>
        <w:ind w:left="288" w:right="144"/>
        <w:jc w:val="right"/>
        <w:bidi w:val="1"/>
      </w:pPr>
      <w:r>
        <w:rPr>
          <w:rFonts w:ascii="Noto Sans Arabic" w:hAnsi="Noto Sans Arabic" w:eastAsia="Noto Sans Arabic"/>
          <w:sz w:val="18"/>
        </w:rPr>
        <w:t>البحث التطبيقي: bridge to product</w:t>
      </w:r>
    </w:p>
    <w:p>
      <w:pPr>
        <w:pStyle w:val="ListBullet"/>
        <w:spacing w:after="24" w:line="240" w:lineRule="auto"/>
        <w:ind w:left="288" w:right="144"/>
        <w:jc w:val="right"/>
        <w:bidi w:val="1"/>
      </w:pPr>
      <w:r>
        <w:rPr>
          <w:rFonts w:ascii="Noto Sans Arabic" w:hAnsi="Noto Sans Arabic" w:eastAsia="Noto Sans Arabic"/>
          <w:sz w:val="18"/>
        </w:rPr>
        <w:t>إشارة GSOS: لا تساوي البحث بالإيراد، بل تعامل معه كleading indicator محتمل.</w:t>
      </w:r>
    </w:p>
    <w:p>
      <w:pPr>
        <w:spacing w:before="40" w:after="60"/>
        <w:jc w:val="left"/>
        <w:bidi w:val="0"/>
      </w:pPr>
      <w:r>
        <w:rPr>
          <w:rFonts w:ascii="Aptos" w:hAnsi="Aptos"/>
          <w:i/>
          <w:sz w:val="14"/>
        </w:rPr>
        <w:t>Sources / provenance: N13 + M2 pp15-16</w:t>
      </w:r>
    </w:p>
    <w:p>
      <w:pPr>
        <w:spacing w:before="20" w:after="0"/>
        <w:jc w:val="center"/>
      </w:pPr>
      <w:r>
        <w:rPr>
          <w:rFonts w:ascii="Noto Sans Arabic" w:hAnsi="Noto Sans Arabic" w:eastAsia="Noto Sans Arabic"/>
          <w:b/>
          <w:sz w:val="16"/>
        </w:rPr>
        <w:t>GSOS-APP-003 | صفحة 24 / 50 | 2026-09-05</w:t>
      </w:r>
    </w:p>
    <w:p>
      <w:r>
        <w:br w:type="page"/>
      </w:r>
    </w:p>
    <w:p>
      <w:pPr>
        <w:spacing w:before="0" w:after="20" w:line="247" w:lineRule="auto"/>
        <w:jc w:val="right"/>
        <w:bidi w:val="1"/>
      </w:pPr>
      <w:r>
        <w:rPr>
          <w:rFonts w:ascii="Noto Sans Arabic" w:hAnsi="Noto Sans Arabic" w:eastAsia="Noto Sans Arabic"/>
          <w:b/>
          <w:sz w:val="29"/>
        </w:rPr>
        <w:t>الصفحة 25 - 2016-2020</w:t>
      </w:r>
    </w:p>
    <w:p>
      <w:pPr>
        <w:spacing w:before="0" w:after="80" w:line="247" w:lineRule="auto"/>
        <w:jc w:val="right"/>
        <w:bidi w:val="1"/>
      </w:pPr>
      <w:r>
        <w:rPr>
          <w:rFonts w:ascii="Noto Sans Arabic" w:hAnsi="Noto Sans Arabic" w:eastAsia="Noto Sans Arabic"/>
          <w:b/>
          <w:sz w:val="20"/>
        </w:rPr>
        <w:t>محفظة الاستحواذ كشبكة إشارات</w:t>
      </w:r>
    </w:p>
    <w:p>
      <w:pPr>
        <w:spacing w:before="0" w:after="80" w:line="247" w:lineRule="auto"/>
        <w:jc w:val="right"/>
        <w:bidi w:val="1"/>
      </w:pPr>
      <w:r>
        <w:rPr>
          <w:rFonts w:ascii="Noto Sans Arabic" w:hAnsi="Noto Sans Arabic" w:eastAsia="Noto Sans Arabic"/>
          <w:b w:val="0"/>
          <w:sz w:val="19"/>
        </w:rPr>
        <w:t>تسجل مادة Nokia المرفوعة سلسلة استحواذات في network management/security، wireless connectivity، location analytics، software/network operations، optical semiconductors وغيرها. النموذج الأفضل لا يقرأ كل صفقة منفردة؛ بل يكتشف clusters متكررة في capabilities.</w:t>
      </w:r>
    </w:p>
    <w:tbl>
      <w:tblPr>
        <w:tblStyle w:val="TableGrid"/>
        <w:tblW w:type="auto" w:w="0"/>
        <w:jc w:val="center"/>
        <w:tblLook w:firstColumn="1" w:firstRow="1" w:lastColumn="0" w:lastRow="0" w:noHBand="0" w:noVBand="1" w:val="04A0"/>
      </w:tblPr>
      <w:tblGrid>
        <w:gridCol w:w="5256"/>
        <w:gridCol w:w="5256"/>
      </w:tblGrid>
      <w:tr>
        <w:tc>
          <w:tcPr>
            <w:tcW w:type="dxa" w:w="5256"/>
            <w:shd w:fill="D9E2F3"/>
            <w:vAlign w:val="center"/>
          </w:tcPr>
          <w:p>
            <w:pPr>
              <w:jc w:val="center"/>
            </w:pPr>
            <w:r/>
            <w:r>
              <w:rPr>
                <w:rFonts w:ascii="Noto Sans Arabic" w:hAnsi="Noto Sans Arabic" w:eastAsia="Noto Sans Arabic"/>
                <w:b/>
                <w:sz w:val="16"/>
              </w:rPr>
              <w:t>Cluster</w:t>
            </w:r>
          </w:p>
        </w:tc>
        <w:tc>
          <w:tcPr>
            <w:tcW w:type="dxa" w:w="5256"/>
            <w:shd w:fill="D9E2F3"/>
            <w:vAlign w:val="center"/>
          </w:tcPr>
          <w:p>
            <w:pPr>
              <w:jc w:val="center"/>
            </w:pPr>
            <w:r/>
            <w:r>
              <w:rPr>
                <w:rFonts w:ascii="Noto Sans Arabic" w:hAnsi="Noto Sans Arabic" w:eastAsia="Noto Sans Arabic"/>
                <w:b/>
                <w:sz w:val="16"/>
              </w:rPr>
              <w:t>أمثلة من المادة</w:t>
            </w:r>
          </w:p>
        </w:tc>
        <w:trPr>
          <w:tblHeader/>
        </w:trPr>
      </w:tr>
      <w:tr>
        <w:tc>
          <w:tcPr>
            <w:tcW w:type="dxa" w:w="5256"/>
          </w:tcPr>
          <w:p>
            <w:pPr>
              <w:jc w:val="center"/>
            </w:pPr>
            <w:r/>
            <w:r>
              <w:rPr>
                <w:rFonts w:ascii="Noto Sans Arabic" w:hAnsi="Noto Sans Arabic" w:eastAsia="Noto Sans Arabic"/>
                <w:sz w:val="16"/>
              </w:rPr>
              <w:t>Security/analytics</w:t>
            </w:r>
          </w:p>
        </w:tc>
        <w:tc>
          <w:tcPr>
            <w:tcW w:type="dxa" w:w="5256"/>
          </w:tcPr>
          <w:p>
            <w:pPr>
              <w:jc w:val="center"/>
            </w:pPr>
            <w:r/>
            <w:r>
              <w:rPr>
                <w:rFonts w:ascii="Noto Sans Arabic" w:hAnsi="Noto Sans Arabic" w:eastAsia="Noto Sans Arabic"/>
                <w:sz w:val="16"/>
              </w:rPr>
              <w:t>Nakina, Deepfield, Comptel</w:t>
            </w:r>
          </w:p>
        </w:tc>
      </w:tr>
      <w:tr>
        <w:tc>
          <w:tcPr>
            <w:tcW w:type="dxa" w:w="5256"/>
          </w:tcPr>
          <w:p>
            <w:pPr>
              <w:jc w:val="center"/>
            </w:pPr>
            <w:r/>
            <w:r>
              <w:rPr>
                <w:rFonts w:ascii="Noto Sans Arabic" w:hAnsi="Noto Sans Arabic" w:eastAsia="Noto Sans Arabic"/>
                <w:sz w:val="16"/>
              </w:rPr>
              <w:t>Wireless/location</w:t>
            </w:r>
          </w:p>
        </w:tc>
        <w:tc>
          <w:tcPr>
            <w:tcW w:type="dxa" w:w="5256"/>
          </w:tcPr>
          <w:p>
            <w:pPr>
              <w:jc w:val="center"/>
            </w:pPr>
            <w:r/>
            <w:r>
              <w:rPr>
                <w:rFonts w:ascii="Noto Sans Arabic" w:hAnsi="Noto Sans Arabic" w:eastAsia="Noto Sans Arabic"/>
                <w:sz w:val="16"/>
              </w:rPr>
              <w:t>Unium, SpaceTime Insights</w:t>
            </w:r>
          </w:p>
        </w:tc>
      </w:tr>
      <w:tr>
        <w:tc>
          <w:tcPr>
            <w:tcW w:type="dxa" w:w="5256"/>
          </w:tcPr>
          <w:p>
            <w:pPr>
              <w:jc w:val="center"/>
            </w:pPr>
            <w:r/>
            <w:r>
              <w:rPr>
                <w:rFonts w:ascii="Noto Sans Arabic" w:hAnsi="Noto Sans Arabic" w:eastAsia="Noto Sans Arabic"/>
                <w:sz w:val="16"/>
              </w:rPr>
              <w:t>Optics</w:t>
            </w:r>
          </w:p>
        </w:tc>
        <w:tc>
          <w:tcPr>
            <w:tcW w:type="dxa" w:w="5256"/>
          </w:tcPr>
          <w:p>
            <w:pPr>
              <w:jc w:val="center"/>
            </w:pPr>
            <w:r/>
            <w:r>
              <w:rPr>
                <w:rFonts w:ascii="Noto Sans Arabic" w:hAnsi="Noto Sans Arabic" w:eastAsia="Noto Sans Arabic"/>
                <w:sz w:val="16"/>
              </w:rPr>
              <w:t>Elenion</w:t>
            </w:r>
          </w:p>
        </w:tc>
      </w:tr>
      <w:tr>
        <w:tc>
          <w:tcPr>
            <w:tcW w:type="dxa" w:w="5256"/>
          </w:tcPr>
          <w:p>
            <w:pPr>
              <w:jc w:val="center"/>
            </w:pPr>
            <w:r/>
            <w:r>
              <w:rPr>
                <w:rFonts w:ascii="Noto Sans Arabic" w:hAnsi="Noto Sans Arabic" w:eastAsia="Noto Sans Arabic"/>
                <w:sz w:val="16"/>
              </w:rPr>
              <w:t>Defense</w:t>
            </w:r>
          </w:p>
        </w:tc>
        <w:tc>
          <w:tcPr>
            <w:tcW w:type="dxa" w:w="5256"/>
          </w:tcPr>
          <w:p>
            <w:pPr>
              <w:jc w:val="center"/>
            </w:pPr>
            <w:r/>
            <w:r>
              <w:rPr>
                <w:rFonts w:ascii="Noto Sans Arabic" w:hAnsi="Noto Sans Arabic" w:eastAsia="Noto Sans Arabic"/>
                <w:sz w:val="16"/>
              </w:rPr>
              <w:t>Fenix</w:t>
            </w:r>
          </w:p>
        </w:tc>
      </w:tr>
      <w:tr>
        <w:tc>
          <w:tcPr>
            <w:tcW w:type="dxa" w:w="5256"/>
          </w:tcPr>
          <w:p>
            <w:pPr>
              <w:jc w:val="center"/>
            </w:pPr>
            <w:r/>
            <w:r>
              <w:rPr>
                <w:rFonts w:ascii="Noto Sans Arabic" w:hAnsi="Noto Sans Arabic" w:eastAsia="Noto Sans Arabic"/>
                <w:sz w:val="16"/>
              </w:rPr>
              <w:t>Optics/webscale</w:t>
            </w:r>
          </w:p>
        </w:tc>
        <w:tc>
          <w:tcPr>
            <w:tcW w:type="dxa" w:w="5256"/>
          </w:tcPr>
          <w:p>
            <w:pPr>
              <w:jc w:val="center"/>
            </w:pPr>
            <w:r/>
            <w:r>
              <w:rPr>
                <w:rFonts w:ascii="Noto Sans Arabic" w:hAnsi="Noto Sans Arabic" w:eastAsia="Noto Sans Arabic"/>
                <w:sz w:val="16"/>
              </w:rPr>
              <w:t>Infinera</w:t>
            </w:r>
          </w:p>
        </w:tc>
      </w:tr>
    </w:tbl>
    <w:p>
      <w:pPr>
        <w:spacing w:after="20"/>
      </w:pPr>
    </w:p>
    <w:p>
      <w:pPr>
        <w:spacing w:before="40" w:after="60"/>
        <w:jc w:val="left"/>
        <w:bidi w:val="0"/>
      </w:pPr>
      <w:r>
        <w:rPr>
          <w:rFonts w:ascii="Aptos" w:hAnsi="Aptos"/>
          <w:i/>
          <w:sz w:val="14"/>
        </w:rPr>
        <w:t>Sources / provenance: M2 pp18-20 + N2/N9/N8</w:t>
      </w:r>
    </w:p>
    <w:p>
      <w:pPr>
        <w:spacing w:before="20" w:after="0"/>
        <w:jc w:val="center"/>
      </w:pPr>
      <w:r>
        <w:rPr>
          <w:rFonts w:ascii="Noto Sans Arabic" w:hAnsi="Noto Sans Arabic" w:eastAsia="Noto Sans Arabic"/>
          <w:b/>
          <w:sz w:val="16"/>
        </w:rPr>
        <w:t>GSOS-APP-003 | صفحة 25 / 50 | 2026-09-05</w:t>
      </w:r>
    </w:p>
    <w:p>
      <w:r>
        <w:br w:type="page"/>
      </w:r>
    </w:p>
    <w:p>
      <w:pPr>
        <w:spacing w:before="0" w:after="20" w:line="247" w:lineRule="auto"/>
        <w:jc w:val="right"/>
        <w:bidi w:val="1"/>
      </w:pPr>
      <w:r>
        <w:rPr>
          <w:rFonts w:ascii="Noto Sans Arabic" w:hAnsi="Noto Sans Arabic" w:eastAsia="Noto Sans Arabic"/>
          <w:b/>
          <w:sz w:val="29"/>
        </w:rPr>
        <w:t>الصفحة 26 - 2024</w:t>
      </w:r>
    </w:p>
    <w:p>
      <w:pPr>
        <w:spacing w:before="0" w:after="80" w:line="247" w:lineRule="auto"/>
        <w:jc w:val="right"/>
        <w:bidi w:val="1"/>
      </w:pPr>
      <w:r>
        <w:rPr>
          <w:rFonts w:ascii="Noto Sans Arabic" w:hAnsi="Noto Sans Arabic" w:eastAsia="Noto Sans Arabic"/>
          <w:b/>
          <w:sz w:val="20"/>
        </w:rPr>
        <w:t>Fenix وارتفاع أهمية الاتصالات الحرجة</w:t>
      </w:r>
    </w:p>
    <w:p>
      <w:pPr>
        <w:spacing w:before="0" w:after="80" w:line="247" w:lineRule="auto"/>
        <w:jc w:val="right"/>
        <w:bidi w:val="1"/>
      </w:pPr>
      <w:r>
        <w:rPr>
          <w:rFonts w:ascii="Noto Sans Arabic" w:hAnsi="Noto Sans Arabic" w:eastAsia="Noto Sans Arabic"/>
          <w:b w:val="0"/>
          <w:sz w:val="19"/>
        </w:rPr>
        <w:t>أكملت Nokia في 22 مايو 2024 استحواذ Fenix Group، المتخصصة في حلول الاتصالات التكتيكية للدفاع. قيمة الحدث في نموذج GSOS أنه يكشف تنويعاً من telecom operator إلى mission-critical connectivity. يجب أن يتحقق المختبر من هذه الإشارة دون كشف أي بيانات تكتيكية أو أمنية غير عامة.</w:t>
      </w:r>
    </w:p>
    <w:p>
      <w:pPr>
        <w:pStyle w:val="ListBullet"/>
        <w:spacing w:after="24" w:line="240" w:lineRule="auto"/>
        <w:ind w:left="288" w:right="144"/>
        <w:jc w:val="right"/>
        <w:bidi w:val="1"/>
      </w:pPr>
      <w:r>
        <w:rPr>
          <w:rFonts w:ascii="Noto Sans Arabic" w:hAnsi="Noto Sans Arabic" w:eastAsia="Noto Sans Arabic"/>
          <w:sz w:val="18"/>
        </w:rPr>
        <w:t>معلن: acquisition completion والـcapability العام.</w:t>
      </w:r>
    </w:p>
    <w:p>
      <w:pPr>
        <w:pStyle w:val="ListBullet"/>
        <w:spacing w:after="24" w:line="240" w:lineRule="auto"/>
        <w:ind w:left="288" w:right="144"/>
        <w:jc w:val="right"/>
        <w:bidi w:val="1"/>
      </w:pPr>
      <w:r>
        <w:rPr>
          <w:rFonts w:ascii="Noto Sans Arabic" w:hAnsi="Noto Sans Arabic" w:eastAsia="Noto Sans Arabic"/>
          <w:sz w:val="18"/>
        </w:rPr>
        <w:t>محجوب: أي تفاصيل تشغيلية حساسة غير منشورة.</w:t>
      </w:r>
    </w:p>
    <w:p>
      <w:pPr>
        <w:pStyle w:val="ListBullet"/>
        <w:spacing w:after="24" w:line="240" w:lineRule="auto"/>
        <w:ind w:left="288" w:right="144"/>
        <w:jc w:val="right"/>
        <w:bidi w:val="1"/>
      </w:pPr>
      <w:r>
        <w:rPr>
          <w:rFonts w:ascii="Noto Sans Arabic" w:hAnsi="Noto Sans Arabic" w:eastAsia="Noto Sans Arabic"/>
          <w:sz w:val="18"/>
        </w:rPr>
        <w:t>تحليل: diversification into resilient connectivity.</w:t>
      </w:r>
    </w:p>
    <w:p>
      <w:pPr>
        <w:spacing w:before="40" w:after="60"/>
        <w:jc w:val="left"/>
        <w:bidi w:val="0"/>
      </w:pPr>
      <w:r>
        <w:rPr>
          <w:rFonts w:ascii="Aptos" w:hAnsi="Aptos"/>
          <w:i/>
          <w:sz w:val="14"/>
        </w:rPr>
        <w:t>Sources / provenance: N9 + M2 p38</w:t>
      </w:r>
    </w:p>
    <w:p>
      <w:pPr>
        <w:spacing w:before="20" w:after="0"/>
        <w:jc w:val="center"/>
      </w:pPr>
      <w:r>
        <w:rPr>
          <w:rFonts w:ascii="Noto Sans Arabic" w:hAnsi="Noto Sans Arabic" w:eastAsia="Noto Sans Arabic"/>
          <w:b/>
          <w:sz w:val="16"/>
        </w:rPr>
        <w:t>GSOS-APP-003 | صفحة 26 / 50 | 2026-09-05</w:t>
      </w:r>
    </w:p>
    <w:p>
      <w:r>
        <w:br w:type="page"/>
      </w:r>
    </w:p>
    <w:p>
      <w:pPr>
        <w:spacing w:before="0" w:after="20" w:line="247" w:lineRule="auto"/>
        <w:jc w:val="right"/>
        <w:bidi w:val="1"/>
      </w:pPr>
      <w:r>
        <w:rPr>
          <w:rFonts w:ascii="Noto Sans Arabic" w:hAnsi="Noto Sans Arabic" w:eastAsia="Noto Sans Arabic"/>
          <w:b/>
          <w:sz w:val="29"/>
        </w:rPr>
        <w:t>الصفحة 27 - 2025</w:t>
      </w:r>
    </w:p>
    <w:p>
      <w:pPr>
        <w:spacing w:before="0" w:after="80" w:line="247" w:lineRule="auto"/>
        <w:jc w:val="right"/>
        <w:bidi w:val="1"/>
      </w:pPr>
      <w:r>
        <w:rPr>
          <w:rFonts w:ascii="Noto Sans Arabic" w:hAnsi="Noto Sans Arabic" w:eastAsia="Noto Sans Arabic"/>
          <w:b/>
          <w:sz w:val="20"/>
        </w:rPr>
        <w:t>Infinera وتعميق optical/webscale</w:t>
      </w:r>
    </w:p>
    <w:p>
      <w:pPr>
        <w:spacing w:before="0" w:after="80" w:line="247" w:lineRule="auto"/>
        <w:jc w:val="right"/>
        <w:bidi w:val="1"/>
      </w:pPr>
      <w:r>
        <w:rPr>
          <w:rFonts w:ascii="Noto Sans Arabic" w:hAnsi="Noto Sans Arabic" w:eastAsia="Noto Sans Arabic"/>
          <w:b w:val="0"/>
          <w:sz w:val="19"/>
        </w:rPr>
        <w:t>في 2024 أعلنت Nokia اتفاق Infinera بقيمة enterprise value قدرها US$2.3bn، مع هدف EUR 200m من synergies في comparable operating profit بحلول 2027، ثم أُغلقت الصفقة في 28 فبراير 2025. هذه إحدى أقوى الحالات لاختبار GSOS على merger logic: capability gap + customer diversification + AI-era optical demand.</w:t>
      </w:r>
    </w:p>
    <w:p>
      <w:pPr>
        <w:spacing w:before="40" w:after="60"/>
        <w:jc w:val="left"/>
        <w:bidi w:val="0"/>
      </w:pPr>
      <w:r>
        <w:rPr>
          <w:rFonts w:ascii="Aptos" w:hAnsi="Aptos"/>
          <w:i/>
          <w:sz w:val="14"/>
        </w:rPr>
        <w:t>Sources / provenance: N8 + M2 pp20,35,46</w:t>
      </w:r>
    </w:p>
    <w:p>
      <w:pPr>
        <w:spacing w:before="20" w:after="0"/>
        <w:jc w:val="center"/>
      </w:pPr>
      <w:r>
        <w:rPr>
          <w:rFonts w:ascii="Noto Sans Arabic" w:hAnsi="Noto Sans Arabic" w:eastAsia="Noto Sans Arabic"/>
          <w:b/>
          <w:sz w:val="16"/>
        </w:rPr>
        <w:t>GSOS-APP-003 | صفحة 27 / 50 | 2026-09-05</w:t>
      </w:r>
    </w:p>
    <w:p>
      <w:r>
        <w:br w:type="page"/>
      </w:r>
    </w:p>
    <w:p>
      <w:pPr>
        <w:spacing w:before="0" w:after="20" w:line="247" w:lineRule="auto"/>
        <w:jc w:val="right"/>
        <w:bidi w:val="1"/>
      </w:pPr>
      <w:r>
        <w:rPr>
          <w:rFonts w:ascii="Noto Sans Arabic" w:hAnsi="Noto Sans Arabic" w:eastAsia="Noto Sans Arabic"/>
          <w:b/>
          <w:sz w:val="29"/>
        </w:rPr>
        <w:t>الصفحة 28 - قاعدة 2025 المالية</w:t>
      </w:r>
    </w:p>
    <w:p>
      <w:pPr>
        <w:spacing w:before="0" w:after="80" w:line="247" w:lineRule="auto"/>
        <w:jc w:val="right"/>
        <w:bidi w:val="1"/>
      </w:pPr>
      <w:r>
        <w:rPr>
          <w:rFonts w:ascii="Noto Sans Arabic" w:hAnsi="Noto Sans Arabic" w:eastAsia="Noto Sans Arabic"/>
          <w:b/>
          <w:sz w:val="20"/>
        </w:rPr>
        <w:t>خط أساس يجب ألا يختلط بتنبؤات 2026</w:t>
      </w:r>
    </w:p>
    <w:p>
      <w:pPr>
        <w:spacing w:before="0" w:after="80" w:line="247" w:lineRule="auto"/>
        <w:jc w:val="right"/>
        <w:bidi w:val="1"/>
      </w:pPr>
      <w:r>
        <w:rPr>
          <w:rFonts w:ascii="Noto Sans Arabic" w:hAnsi="Noto Sans Arabic" w:eastAsia="Noto Sans Arabic"/>
          <w:b w:val="0"/>
          <w:sz w:val="19"/>
        </w:rPr>
        <w:t>بلغت المبيعات في 2025 EUR 19.889bn مقابل EUR 19.220bn في 2024. ارتفع R&amp;D expense إلى EUR 4.855bn من EUR 4.512bn، بينما انخفض reported operating profit من EUR 1.970bn إلى EUR 885m. هذه التباينات تعلمنا أن growth في sales قد يتعايش مع ضغط على reported profit.</w:t>
      </w:r>
    </w:p>
    <w:p>
      <w:pPr>
        <w:jc w:val="center"/>
      </w:pPr>
      <w:r>
        <w:drawing>
          <wp:inline xmlns:a="http://schemas.openxmlformats.org/drawingml/2006/main" xmlns:pic="http://schemas.openxmlformats.org/drawingml/2006/picture">
            <wp:extent cx="5669280" cy="3033919"/>
            <wp:docPr id="6" name="Picture 6" descr="Image: image2.png"/>
            <wp:cNvGraphicFramePr>
              <a:graphicFrameLocks noChangeAspect="1"/>
            </wp:cNvGraphicFramePr>
            <a:graphic>
              <a:graphicData uri="http://schemas.openxmlformats.org/drawingml/2006/picture">
                <pic:pic>
                  <pic:nvPicPr>
                    <pic:cNvPr id="0" name="02_sales.png"/>
                    <pic:cNvPicPr/>
                  </pic:nvPicPr>
                  <pic:blipFill>
                    <a:blip r:embed="rId10"/>
                    <a:stretch>
                      <a:fillRect/>
                    </a:stretch>
                  </pic:blipFill>
                  <pic:spPr>
                    <a:xfrm>
                      <a:off x="0" y="0"/>
                      <a:ext cx="5669280" cy="3033919"/>
                    </a:xfrm>
                    <a:prstGeom prst="rect"/>
                  </pic:spPr>
                </pic:pic>
              </a:graphicData>
            </a:graphic>
          </wp:inline>
        </w:drawing>
      </w:r>
    </w:p>
    <w:p>
      <w:pPr>
        <w:spacing w:after="40"/>
        <w:jc w:val="center"/>
        <w:bidi w:val="1"/>
      </w:pPr>
      <w:r>
        <w:rPr>
          <w:rFonts w:ascii="Noto Sans Arabic" w:hAnsi="Noto Sans Arabic" w:eastAsia="Noto Sans Arabic"/>
          <w:b w:val="0"/>
          <w:sz w:val="16"/>
        </w:rPr>
        <w:t>يجب قراءة 2024/2025 فقط داخل سياقهما المحاسبي.</w:t>
      </w:r>
    </w:p>
    <w:p>
      <w:pPr>
        <w:spacing w:before="40" w:after="60"/>
        <w:jc w:val="left"/>
        <w:bidi w:val="0"/>
      </w:pPr>
      <w:r>
        <w:rPr>
          <w:rFonts w:ascii="Aptos" w:hAnsi="Aptos"/>
          <w:i/>
          <w:sz w:val="14"/>
        </w:rPr>
        <w:t>Sources / provenance: N2 + N5</w:t>
      </w:r>
    </w:p>
    <w:p>
      <w:pPr>
        <w:spacing w:before="20" w:after="0"/>
        <w:jc w:val="center"/>
      </w:pPr>
      <w:r>
        <w:rPr>
          <w:rFonts w:ascii="Noto Sans Arabic" w:hAnsi="Noto Sans Arabic" w:eastAsia="Noto Sans Arabic"/>
          <w:b/>
          <w:sz w:val="16"/>
        </w:rPr>
        <w:t>GSOS-APP-003 | صفحة 28 / 50 | 2026-09-05</w:t>
      </w:r>
    </w:p>
    <w:p>
      <w:r>
        <w:br w:type="page"/>
      </w:r>
    </w:p>
    <w:p>
      <w:pPr>
        <w:spacing w:before="0" w:after="20" w:line="247" w:lineRule="auto"/>
        <w:jc w:val="right"/>
        <w:bidi w:val="1"/>
      </w:pPr>
      <w:r>
        <w:rPr>
          <w:rFonts w:ascii="Noto Sans Arabic" w:hAnsi="Noto Sans Arabic" w:eastAsia="Noto Sans Arabic"/>
          <w:b/>
          <w:sz w:val="29"/>
        </w:rPr>
        <w:t>الصفحة 29 - قاعدة الموظفين</w:t>
      </w:r>
    </w:p>
    <w:p>
      <w:pPr>
        <w:spacing w:before="0" w:after="80" w:line="247" w:lineRule="auto"/>
        <w:jc w:val="right"/>
        <w:bidi w:val="1"/>
      </w:pPr>
      <w:r>
        <w:rPr>
          <w:rFonts w:ascii="Noto Sans Arabic" w:hAnsi="Noto Sans Arabic" w:eastAsia="Noto Sans Arabic"/>
          <w:b/>
          <w:sz w:val="20"/>
        </w:rPr>
        <w:t>78 ألف موظف ومتوسط التوزيع الإقليمي</w:t>
      </w:r>
    </w:p>
    <w:p>
      <w:pPr>
        <w:spacing w:before="0" w:after="80" w:line="247" w:lineRule="auto"/>
        <w:jc w:val="right"/>
        <w:bidi w:val="1"/>
      </w:pPr>
      <w:r>
        <w:rPr>
          <w:rFonts w:ascii="Noto Sans Arabic" w:hAnsi="Noto Sans Arabic" w:eastAsia="Noto Sans Arabic"/>
          <w:b w:val="0"/>
          <w:sz w:val="19"/>
        </w:rPr>
        <w:t>بلغ متوسط عدد موظفي Nokia نحو 78 ألفاً في 2025. أوروبا 33 ألفاً، الهند 18.3 ألفاً، أمريكا الشمالية 10 آلاف، Greater China 7.2 آلاف، والبقية موزعة على مناطق أخرى. هذا مثال على spatial evidence آمن لأنه مجمع ومعلن، وليس بيانات مواقع بنية تحتية حساسة.</w:t>
      </w:r>
    </w:p>
    <w:p>
      <w:pPr>
        <w:jc w:val="center"/>
      </w:pPr>
      <w:r>
        <w:drawing>
          <wp:inline xmlns:a="http://schemas.openxmlformats.org/drawingml/2006/main" xmlns:pic="http://schemas.openxmlformats.org/drawingml/2006/picture">
            <wp:extent cx="5669280" cy="3033919"/>
            <wp:docPr id="7" name="Picture 7" descr="Image: image6.png"/>
            <wp:cNvGraphicFramePr>
              <a:graphicFrameLocks noChangeAspect="1"/>
            </wp:cNvGraphicFramePr>
            <a:graphic>
              <a:graphicData uri="http://schemas.openxmlformats.org/drawingml/2006/picture">
                <pic:pic>
                  <pic:nvPicPr>
                    <pic:cNvPr id="0" name="05_employees.png"/>
                    <pic:cNvPicPr/>
                  </pic:nvPicPr>
                  <pic:blipFill>
                    <a:blip r:embed="rId14"/>
                    <a:stretch>
                      <a:fillRect/>
                    </a:stretch>
                  </pic:blipFill>
                  <pic:spPr>
                    <a:xfrm>
                      <a:off x="0" y="0"/>
                      <a:ext cx="5669280" cy="3033919"/>
                    </a:xfrm>
                    <a:prstGeom prst="rect"/>
                  </pic:spPr>
                </pic:pic>
              </a:graphicData>
            </a:graphic>
          </wp:inline>
        </w:drawing>
      </w:r>
    </w:p>
    <w:p>
      <w:pPr>
        <w:spacing w:after="40"/>
        <w:jc w:val="center"/>
        <w:bidi w:val="1"/>
      </w:pPr>
      <w:r>
        <w:rPr>
          <w:rFonts w:ascii="Noto Sans Arabic" w:hAnsi="Noto Sans Arabic" w:eastAsia="Noto Sans Arabic"/>
          <w:b w:val="0"/>
          <w:sz w:val="16"/>
        </w:rPr>
        <w:t>أرقام تقريبية حسب المناطق كما وردت في Annual Report 2025.</w:t>
      </w:r>
    </w:p>
    <w:p>
      <w:pPr>
        <w:spacing w:before="40" w:after="60"/>
        <w:jc w:val="left"/>
        <w:bidi w:val="0"/>
      </w:pPr>
      <w:r>
        <w:rPr>
          <w:rFonts w:ascii="Aptos" w:hAnsi="Aptos"/>
          <w:i/>
          <w:sz w:val="14"/>
        </w:rPr>
        <w:t>Sources / provenance: N2 + N5 + M2 p24</w:t>
      </w:r>
    </w:p>
    <w:p>
      <w:pPr>
        <w:spacing w:before="20" w:after="0"/>
        <w:jc w:val="center"/>
      </w:pPr>
      <w:r>
        <w:rPr>
          <w:rFonts w:ascii="Noto Sans Arabic" w:hAnsi="Noto Sans Arabic" w:eastAsia="Noto Sans Arabic"/>
          <w:b/>
          <w:sz w:val="16"/>
        </w:rPr>
        <w:t>GSOS-APP-003 | صفحة 29 / 50 | 2026-09-05</w:t>
      </w:r>
    </w:p>
    <w:p>
      <w:r>
        <w:br w:type="page"/>
      </w:r>
    </w:p>
    <w:p>
      <w:pPr>
        <w:spacing w:before="0" w:after="20" w:line="247" w:lineRule="auto"/>
        <w:jc w:val="right"/>
        <w:bidi w:val="1"/>
      </w:pPr>
      <w:r>
        <w:rPr>
          <w:rFonts w:ascii="Noto Sans Arabic" w:hAnsi="Noto Sans Arabic" w:eastAsia="Noto Sans Arabic"/>
          <w:b/>
          <w:sz w:val="29"/>
        </w:rPr>
        <w:t>الصفحة 30 - العملاء</w:t>
      </w:r>
    </w:p>
    <w:p>
      <w:pPr>
        <w:spacing w:before="0" w:after="80" w:line="247" w:lineRule="auto"/>
        <w:jc w:val="right"/>
        <w:bidi w:val="1"/>
      </w:pPr>
      <w:r>
        <w:rPr>
          <w:rFonts w:ascii="Noto Sans Arabic" w:hAnsi="Noto Sans Arabic" w:eastAsia="Noto Sans Arabic"/>
          <w:b/>
          <w:sz w:val="20"/>
        </w:rPr>
        <w:t>تحول الطلب من operator-centric إلى AI &amp; Cloud وMission Critical</w:t>
      </w:r>
    </w:p>
    <w:p>
      <w:pPr>
        <w:spacing w:before="0" w:after="80" w:line="247" w:lineRule="auto"/>
        <w:jc w:val="right"/>
        <w:bidi w:val="1"/>
      </w:pPr>
      <w:r>
        <w:rPr>
          <w:rFonts w:ascii="Noto Sans Arabic" w:hAnsi="Noto Sans Arabic" w:eastAsia="Noto Sans Arabic"/>
          <w:b w:val="0"/>
          <w:sz w:val="19"/>
        </w:rPr>
        <w:t>في 2025 بلغت مبيعات telecom providers حوالي EUR 15.313bn، بينما بلغت AI &amp; Cloud and Mission Critical Enterprise &amp; Defense نحو EUR 3.085bn، وLicensees نحو EUR 1.501bn. هذه الخريطة تساعد GSOS على تحليل تنويع الطلب وليس فقط total sales.</w:t>
      </w:r>
    </w:p>
    <w:p>
      <w:pPr>
        <w:jc w:val="center"/>
      </w:pPr>
      <w:r>
        <w:drawing>
          <wp:inline xmlns:a="http://schemas.openxmlformats.org/drawingml/2006/main" xmlns:pic="http://schemas.openxmlformats.org/drawingml/2006/picture">
            <wp:extent cx="5669280" cy="3033919"/>
            <wp:docPr id="8" name="Picture 8" descr="Image: image7.png"/>
            <wp:cNvGraphicFramePr>
              <a:graphicFrameLocks noChangeAspect="1"/>
            </wp:cNvGraphicFramePr>
            <a:graphic>
              <a:graphicData uri="http://schemas.openxmlformats.org/drawingml/2006/picture">
                <pic:pic>
                  <pic:nvPicPr>
                    <pic:cNvPr id="0" name="09_customers.png"/>
                    <pic:cNvPicPr/>
                  </pic:nvPicPr>
                  <pic:blipFill>
                    <a:blip r:embed="rId15"/>
                    <a:stretch>
                      <a:fillRect/>
                    </a:stretch>
                  </pic:blipFill>
                  <pic:spPr>
                    <a:xfrm>
                      <a:off x="0" y="0"/>
                      <a:ext cx="5669280" cy="3033919"/>
                    </a:xfrm>
                    <a:prstGeom prst="rect"/>
                  </pic:spPr>
                </pic:pic>
              </a:graphicData>
            </a:graphic>
          </wp:inline>
        </w:drawing>
      </w:r>
    </w:p>
    <w:p>
      <w:pPr>
        <w:spacing w:after="40"/>
        <w:jc w:val="center"/>
        <w:bidi w:val="1"/>
      </w:pPr>
      <w:r>
        <w:rPr>
          <w:rFonts w:ascii="Noto Sans Arabic" w:hAnsi="Noto Sans Arabic" w:eastAsia="Noto Sans Arabic"/>
          <w:b w:val="0"/>
          <w:sz w:val="16"/>
        </w:rPr>
        <w:t>Customer-type sales 2025.</w:t>
      </w:r>
    </w:p>
    <w:p>
      <w:pPr>
        <w:spacing w:before="40" w:after="60"/>
        <w:jc w:val="left"/>
        <w:bidi w:val="0"/>
      </w:pPr>
      <w:r>
        <w:rPr>
          <w:rFonts w:ascii="Aptos" w:hAnsi="Aptos"/>
          <w:i/>
          <w:sz w:val="14"/>
        </w:rPr>
        <w:t>Sources / provenance: N5 + M2 p23</w:t>
      </w:r>
    </w:p>
    <w:p>
      <w:pPr>
        <w:spacing w:before="20" w:after="0"/>
        <w:jc w:val="center"/>
      </w:pPr>
      <w:r>
        <w:rPr>
          <w:rFonts w:ascii="Noto Sans Arabic" w:hAnsi="Noto Sans Arabic" w:eastAsia="Noto Sans Arabic"/>
          <w:b/>
          <w:sz w:val="16"/>
        </w:rPr>
        <w:t>GSOS-APP-003 | صفحة 30 / 50 | 2026-09-05</w:t>
      </w:r>
    </w:p>
    <w:p>
      <w:r>
        <w:br w:type="page"/>
      </w:r>
    </w:p>
    <w:p>
      <w:pPr>
        <w:spacing w:before="0" w:after="20" w:line="247" w:lineRule="auto"/>
        <w:jc w:val="right"/>
        <w:bidi w:val="1"/>
      </w:pPr>
      <w:r>
        <w:rPr>
          <w:rFonts w:ascii="Noto Sans Arabic" w:hAnsi="Noto Sans Arabic" w:eastAsia="Noto Sans Arabic"/>
          <w:b/>
          <w:sz w:val="29"/>
        </w:rPr>
        <w:t>الصفحة 31 - نموذج 2026 الجديد</w:t>
      </w:r>
    </w:p>
    <w:p>
      <w:pPr>
        <w:spacing w:before="0" w:after="80" w:line="247" w:lineRule="auto"/>
        <w:jc w:val="right"/>
        <w:bidi w:val="1"/>
      </w:pPr>
      <w:r>
        <w:rPr>
          <w:rFonts w:ascii="Noto Sans Arabic" w:hAnsi="Noto Sans Arabic" w:eastAsia="Noto Sans Arabic"/>
          <w:b/>
          <w:sz w:val="20"/>
        </w:rPr>
        <w:t>Network Infrastructure + Mobile Infrastructure</w:t>
      </w:r>
    </w:p>
    <w:p>
      <w:pPr>
        <w:spacing w:before="0" w:after="80" w:line="247" w:lineRule="auto"/>
        <w:jc w:val="right"/>
        <w:bidi w:val="1"/>
      </w:pPr>
      <w:r>
        <w:rPr>
          <w:rFonts w:ascii="Noto Sans Arabic" w:hAnsi="Noto Sans Arabic" w:eastAsia="Noto Sans Arabic"/>
          <w:b w:val="0"/>
          <w:sz w:val="19"/>
        </w:rPr>
        <w:t>اعتباراً من 1 يناير 2026 تبنت Nokia نموذجاً مبسطاً بقطاعين أساسيين: Network Infrastructure وMobile Infrastructure، مع أعمال portfolio في نطاق أصغر. هذا التغيير يجب أن يكون 'change point' صريحاً في أي نظام يتعلم من سلسلة زمنية؛ وإلا فقد يحسب النمو أو الهبوط على تصنيف أصبح غير مماثل.</w:t>
      </w:r>
    </w:p>
    <w:tbl>
      <w:tblPr>
        <w:tblStyle w:val="TableGrid"/>
        <w:tblW w:type="auto" w:w="0"/>
        <w:jc w:val="center"/>
        <w:tblLook w:firstColumn="1" w:firstRow="1" w:lastColumn="0" w:lastRow="0" w:noHBand="0" w:noVBand="1" w:val="04A0"/>
      </w:tblPr>
      <w:tblGrid>
        <w:gridCol w:w="5256"/>
        <w:gridCol w:w="5256"/>
      </w:tblGrid>
      <w:tr>
        <w:tc>
          <w:tcPr>
            <w:tcW w:type="dxa" w:w="5256"/>
            <w:shd w:fill="D9E2F3"/>
            <w:vAlign w:val="center"/>
          </w:tcPr>
          <w:p>
            <w:pPr>
              <w:jc w:val="center"/>
            </w:pPr>
            <w:r/>
            <w:r>
              <w:rPr>
                <w:rFonts w:ascii="Noto Sans Arabic" w:hAnsi="Noto Sans Arabic" w:eastAsia="Noto Sans Arabic"/>
                <w:b/>
                <w:sz w:val="16"/>
              </w:rPr>
              <w:t>2026 segment</w:t>
            </w:r>
          </w:p>
        </w:tc>
        <w:tc>
          <w:tcPr>
            <w:tcW w:type="dxa" w:w="5256"/>
            <w:shd w:fill="D9E2F3"/>
            <w:vAlign w:val="center"/>
          </w:tcPr>
          <w:p>
            <w:pPr>
              <w:jc w:val="center"/>
            </w:pPr>
            <w:r/>
            <w:r>
              <w:rPr>
                <w:rFonts w:ascii="Noto Sans Arabic" w:hAnsi="Noto Sans Arabic" w:eastAsia="Noto Sans Arabic"/>
                <w:b/>
                <w:sz w:val="16"/>
              </w:rPr>
              <w:t>المكونات الرئيسية</w:t>
            </w:r>
          </w:p>
        </w:tc>
        <w:trPr>
          <w:tblHeader/>
        </w:trPr>
      </w:tr>
      <w:tr>
        <w:tc>
          <w:tcPr>
            <w:tcW w:type="dxa" w:w="5256"/>
          </w:tcPr>
          <w:p>
            <w:pPr>
              <w:jc w:val="center"/>
            </w:pPr>
            <w:r/>
            <w:r>
              <w:rPr>
                <w:rFonts w:ascii="Noto Sans Arabic" w:hAnsi="Noto Sans Arabic" w:eastAsia="Noto Sans Arabic"/>
                <w:sz w:val="16"/>
              </w:rPr>
              <w:t>Network Infrastructure</w:t>
            </w:r>
          </w:p>
        </w:tc>
        <w:tc>
          <w:tcPr>
            <w:tcW w:type="dxa" w:w="5256"/>
          </w:tcPr>
          <w:p>
            <w:pPr>
              <w:jc w:val="center"/>
            </w:pPr>
            <w:r/>
            <w:r>
              <w:rPr>
                <w:rFonts w:ascii="Noto Sans Arabic" w:hAnsi="Noto Sans Arabic" w:eastAsia="Noto Sans Arabic"/>
                <w:sz w:val="16"/>
              </w:rPr>
              <w:t>Optical Networks / IP Networks / Fixed Networks</w:t>
            </w:r>
          </w:p>
        </w:tc>
      </w:tr>
      <w:tr>
        <w:tc>
          <w:tcPr>
            <w:tcW w:type="dxa" w:w="5256"/>
          </w:tcPr>
          <w:p>
            <w:pPr>
              <w:jc w:val="center"/>
            </w:pPr>
            <w:r/>
            <w:r>
              <w:rPr>
                <w:rFonts w:ascii="Noto Sans Arabic" w:hAnsi="Noto Sans Arabic" w:eastAsia="Noto Sans Arabic"/>
                <w:sz w:val="16"/>
              </w:rPr>
              <w:t>Mobile Infrastructure</w:t>
            </w:r>
          </w:p>
        </w:tc>
        <w:tc>
          <w:tcPr>
            <w:tcW w:type="dxa" w:w="5256"/>
          </w:tcPr>
          <w:p>
            <w:pPr>
              <w:jc w:val="center"/>
            </w:pPr>
            <w:r/>
            <w:r>
              <w:rPr>
                <w:rFonts w:ascii="Noto Sans Arabic" w:hAnsi="Noto Sans Arabic" w:eastAsia="Noto Sans Arabic"/>
                <w:sz w:val="16"/>
              </w:rPr>
              <w:t>Core Software / Radio Networks / Technology Standards</w:t>
            </w:r>
          </w:p>
        </w:tc>
      </w:tr>
      <w:tr>
        <w:tc>
          <w:tcPr>
            <w:tcW w:type="dxa" w:w="5256"/>
          </w:tcPr>
          <w:p>
            <w:pPr>
              <w:jc w:val="center"/>
            </w:pPr>
            <w:r/>
            <w:r>
              <w:rPr>
                <w:rFonts w:ascii="Noto Sans Arabic" w:hAnsi="Noto Sans Arabic" w:eastAsia="Noto Sans Arabic"/>
                <w:sz w:val="16"/>
              </w:rPr>
              <w:t>Portfolio</w:t>
            </w:r>
          </w:p>
        </w:tc>
        <w:tc>
          <w:tcPr>
            <w:tcW w:type="dxa" w:w="5256"/>
          </w:tcPr>
          <w:p>
            <w:pPr>
              <w:jc w:val="center"/>
            </w:pPr>
            <w:r/>
            <w:r>
              <w:rPr>
                <w:rFonts w:ascii="Noto Sans Arabic" w:hAnsi="Noto Sans Arabic" w:eastAsia="Noto Sans Arabic"/>
                <w:sz w:val="16"/>
              </w:rPr>
              <w:t>Selected non-core units</w:t>
            </w:r>
          </w:p>
        </w:tc>
      </w:tr>
    </w:tbl>
    <w:p>
      <w:pPr>
        <w:spacing w:after="20"/>
      </w:pPr>
    </w:p>
    <w:p>
      <w:pPr>
        <w:spacing w:before="40" w:after="60"/>
        <w:jc w:val="left"/>
        <w:bidi w:val="0"/>
      </w:pPr>
      <w:r>
        <w:rPr>
          <w:rFonts w:ascii="Aptos" w:hAnsi="Aptos"/>
          <w:i/>
          <w:sz w:val="14"/>
        </w:rPr>
        <w:t>Sources / provenance: N2/N3/N4 + M2 p26</w:t>
      </w:r>
    </w:p>
    <w:p>
      <w:pPr>
        <w:spacing w:before="20" w:after="0"/>
        <w:jc w:val="center"/>
      </w:pPr>
      <w:r>
        <w:rPr>
          <w:rFonts w:ascii="Noto Sans Arabic" w:hAnsi="Noto Sans Arabic" w:eastAsia="Noto Sans Arabic"/>
          <w:b/>
          <w:sz w:val="16"/>
        </w:rPr>
        <w:t>GSOS-APP-003 | صفحة 31 / 50 | 2026-09-05</w:t>
      </w:r>
    </w:p>
    <w:p>
      <w:r>
        <w:br w:type="page"/>
      </w:r>
    </w:p>
    <w:p>
      <w:pPr>
        <w:spacing w:before="0" w:after="20" w:line="247" w:lineRule="auto"/>
        <w:jc w:val="right"/>
        <w:bidi w:val="1"/>
      </w:pPr>
      <w:r>
        <w:rPr>
          <w:rFonts w:ascii="Noto Sans Arabic" w:hAnsi="Noto Sans Arabic" w:eastAsia="Noto Sans Arabic"/>
          <w:b/>
          <w:sz w:val="29"/>
        </w:rPr>
        <w:t>الصفحة 32 - Q1 2026</w:t>
      </w:r>
    </w:p>
    <w:p>
      <w:pPr>
        <w:spacing w:before="0" w:after="80" w:line="247" w:lineRule="auto"/>
        <w:jc w:val="right"/>
        <w:bidi w:val="1"/>
      </w:pPr>
      <w:r>
        <w:rPr>
          <w:rFonts w:ascii="Noto Sans Arabic" w:hAnsi="Noto Sans Arabic" w:eastAsia="Noto Sans Arabic"/>
          <w:b/>
          <w:sz w:val="20"/>
        </w:rPr>
        <w:t>بداية قوية خصوصاً في Optical وAI &amp; Cloud</w:t>
      </w:r>
    </w:p>
    <w:p>
      <w:pPr>
        <w:spacing w:before="0" w:after="80" w:line="247" w:lineRule="auto"/>
        <w:jc w:val="right"/>
        <w:bidi w:val="1"/>
      </w:pPr>
      <w:r>
        <w:rPr>
          <w:rFonts w:ascii="Noto Sans Arabic" w:hAnsi="Noto Sans Arabic" w:eastAsia="Noto Sans Arabic"/>
          <w:b w:val="0"/>
          <w:sz w:val="19"/>
        </w:rPr>
        <w:t>في Q1 2026 ارتفعت comparable net sales 4% constant currency and portfolio basis. نما Network Infrastructure بنسبة 6%، وOptical Networks بنسبة 20%، وAI &amp; Cloud customer sales بنسبة 49%. كما سجلت Nokia نحو EUR 1bn من AI &amp; Cloud orders في الربع.</w:t>
      </w:r>
    </w:p>
    <w:p>
      <w:pPr>
        <w:jc w:val="center"/>
      </w:pPr>
      <w:r>
        <w:drawing>
          <wp:inline xmlns:a="http://schemas.openxmlformats.org/drawingml/2006/main" xmlns:pic="http://schemas.openxmlformats.org/drawingml/2006/picture">
            <wp:extent cx="5669280" cy="3033919"/>
            <wp:docPr id="9" name="Picture 9" descr="Image: image8.png"/>
            <wp:cNvGraphicFramePr>
              <a:graphicFrameLocks noChangeAspect="1"/>
            </wp:cNvGraphicFramePr>
            <a:graphic>
              <a:graphicData uri="http://schemas.openxmlformats.org/drawingml/2006/picture">
                <pic:pic>
                  <pic:nvPicPr>
                    <pic:cNvPr id="0" name="06_q1_growth.png"/>
                    <pic:cNvPicPr/>
                  </pic:nvPicPr>
                  <pic:blipFill>
                    <a:blip r:embed="rId16"/>
                    <a:stretch>
                      <a:fillRect/>
                    </a:stretch>
                  </pic:blipFill>
                  <pic:spPr>
                    <a:xfrm>
                      <a:off x="0" y="0"/>
                      <a:ext cx="5669280" cy="3033919"/>
                    </a:xfrm>
                    <a:prstGeom prst="rect"/>
                  </pic:spPr>
                </pic:pic>
              </a:graphicData>
            </a:graphic>
          </wp:inline>
        </w:drawing>
      </w:r>
    </w:p>
    <w:p>
      <w:pPr>
        <w:spacing w:before="40" w:after="60"/>
        <w:jc w:val="left"/>
        <w:bidi w:val="0"/>
      </w:pPr>
      <w:r>
        <w:rPr>
          <w:rFonts w:ascii="Aptos" w:hAnsi="Aptos"/>
          <w:i/>
          <w:sz w:val="14"/>
        </w:rPr>
        <w:t>Sources / provenance: N3 + M2 p27</w:t>
      </w:r>
    </w:p>
    <w:p>
      <w:pPr>
        <w:spacing w:before="20" w:after="0"/>
        <w:jc w:val="center"/>
      </w:pPr>
      <w:r>
        <w:rPr>
          <w:rFonts w:ascii="Noto Sans Arabic" w:hAnsi="Noto Sans Arabic" w:eastAsia="Noto Sans Arabic"/>
          <w:b/>
          <w:sz w:val="16"/>
        </w:rPr>
        <w:t>GSOS-APP-003 | صفحة 32 / 50 | 2026-09-05</w:t>
      </w:r>
    </w:p>
    <w:p>
      <w:r>
        <w:br w:type="page"/>
      </w:r>
    </w:p>
    <w:p>
      <w:pPr>
        <w:spacing w:before="0" w:after="20" w:line="247" w:lineRule="auto"/>
        <w:jc w:val="right"/>
        <w:bidi w:val="1"/>
      </w:pPr>
      <w:r>
        <w:rPr>
          <w:rFonts w:ascii="Noto Sans Arabic" w:hAnsi="Noto Sans Arabic" w:eastAsia="Noto Sans Arabic"/>
          <w:b/>
          <w:sz w:val="29"/>
        </w:rPr>
        <w:t>الصفحة 33 - Q2 2026</w:t>
      </w:r>
    </w:p>
    <w:p>
      <w:pPr>
        <w:spacing w:before="0" w:after="80" w:line="247" w:lineRule="auto"/>
        <w:jc w:val="right"/>
        <w:bidi w:val="1"/>
      </w:pPr>
      <w:r>
        <w:rPr>
          <w:rFonts w:ascii="Noto Sans Arabic" w:hAnsi="Noto Sans Arabic" w:eastAsia="Noto Sans Arabic"/>
          <w:b/>
          <w:sz w:val="20"/>
        </w:rPr>
        <w:t>تسارع الإشارة بدلاً من مجرد استمرارها</w:t>
      </w:r>
    </w:p>
    <w:p>
      <w:pPr>
        <w:spacing w:before="0" w:after="80" w:line="247" w:lineRule="auto"/>
        <w:jc w:val="right"/>
        <w:bidi w:val="1"/>
      </w:pPr>
      <w:r>
        <w:rPr>
          <w:rFonts w:ascii="Noto Sans Arabic" w:hAnsi="Noto Sans Arabic" w:eastAsia="Noto Sans Arabic"/>
          <w:b w:val="0"/>
          <w:sz w:val="19"/>
        </w:rPr>
        <w:t>في Q2 2026 ارتفعت مبيعات المجموعة 9% على أساس constant currency و8% reported. نما Network Infrastructure بنسبة 12%، Optical 20%، IP 16%، وارتفعت مبيعات AI &amp; Cloud customers بنسبة 105%. وسجل AI &amp; Cloud order intake بقيمة EUR 2.8bn.</w:t>
      </w:r>
    </w:p>
    <w:p>
      <w:pPr>
        <w:jc w:val="center"/>
      </w:pPr>
      <w:r>
        <w:drawing>
          <wp:inline xmlns:a="http://schemas.openxmlformats.org/drawingml/2006/main" xmlns:pic="http://schemas.openxmlformats.org/drawingml/2006/picture">
            <wp:extent cx="5669280" cy="3033919"/>
            <wp:docPr id="10" name="Picture 10" descr="Image: image9.png"/>
            <wp:cNvGraphicFramePr>
              <a:graphicFrameLocks noChangeAspect="1"/>
            </wp:cNvGraphicFramePr>
            <a:graphic>
              <a:graphicData uri="http://schemas.openxmlformats.org/drawingml/2006/picture">
                <pic:pic>
                  <pic:nvPicPr>
                    <pic:cNvPr id="0" name="07_q2_growth.png"/>
                    <pic:cNvPicPr/>
                  </pic:nvPicPr>
                  <pic:blipFill>
                    <a:blip r:embed="rId17"/>
                    <a:stretch>
                      <a:fillRect/>
                    </a:stretch>
                  </pic:blipFill>
                  <pic:spPr>
                    <a:xfrm>
                      <a:off x="0" y="0"/>
                      <a:ext cx="5669280" cy="3033919"/>
                    </a:xfrm>
                    <a:prstGeom prst="rect"/>
                  </pic:spPr>
                </pic:pic>
              </a:graphicData>
            </a:graphic>
          </wp:inline>
        </w:drawing>
      </w:r>
    </w:p>
    <w:p>
      <w:pPr>
        <w:spacing w:after="40"/>
        <w:jc w:val="center"/>
        <w:bidi w:val="1"/>
      </w:pPr>
      <w:r>
        <w:rPr>
          <w:rFonts w:ascii="Noto Sans Arabic" w:hAnsi="Noto Sans Arabic" w:eastAsia="Noto Sans Arabic"/>
          <w:b w:val="0"/>
          <w:sz w:val="16"/>
        </w:rPr>
        <w:t>الـ105% يصف YoY AI &amp; Cloud customer sales، وليس نمو المجموعة كلها.</w:t>
      </w:r>
    </w:p>
    <w:p>
      <w:pPr>
        <w:spacing w:before="40" w:after="60"/>
        <w:jc w:val="left"/>
        <w:bidi w:val="0"/>
      </w:pPr>
      <w:r>
        <w:rPr>
          <w:rFonts w:ascii="Aptos" w:hAnsi="Aptos"/>
          <w:i/>
          <w:sz w:val="14"/>
        </w:rPr>
        <w:t>Sources / provenance: N4 + M2 pp27-30</w:t>
      </w:r>
    </w:p>
    <w:p>
      <w:pPr>
        <w:spacing w:before="20" w:after="0"/>
        <w:jc w:val="center"/>
      </w:pPr>
      <w:r>
        <w:rPr>
          <w:rFonts w:ascii="Noto Sans Arabic" w:hAnsi="Noto Sans Arabic" w:eastAsia="Noto Sans Arabic"/>
          <w:b/>
          <w:sz w:val="16"/>
        </w:rPr>
        <w:t>GSOS-APP-003 | صفحة 33 / 50 | 2026-09-05</w:t>
      </w:r>
    </w:p>
    <w:p>
      <w:r>
        <w:br w:type="page"/>
      </w:r>
    </w:p>
    <w:p>
      <w:pPr>
        <w:spacing w:before="0" w:after="20" w:line="247" w:lineRule="auto"/>
        <w:jc w:val="right"/>
        <w:bidi w:val="1"/>
      </w:pPr>
      <w:r>
        <w:rPr>
          <w:rFonts w:ascii="Noto Sans Arabic" w:hAnsi="Noto Sans Arabic" w:eastAsia="Noto Sans Arabic"/>
          <w:b/>
          <w:sz w:val="29"/>
        </w:rPr>
        <w:t>الصفحة 34 - Q2 margins</w:t>
      </w:r>
    </w:p>
    <w:p>
      <w:pPr>
        <w:spacing w:before="0" w:after="80" w:line="247" w:lineRule="auto"/>
        <w:jc w:val="right"/>
        <w:bidi w:val="1"/>
      </w:pPr>
      <w:r>
        <w:rPr>
          <w:rFonts w:ascii="Noto Sans Arabic" w:hAnsi="Noto Sans Arabic" w:eastAsia="Noto Sans Arabic"/>
          <w:b/>
          <w:sz w:val="20"/>
        </w:rPr>
        <w:t>نقد الرقم قبل استعماله في التنبؤ</w:t>
      </w:r>
    </w:p>
    <w:p>
      <w:pPr>
        <w:spacing w:before="0" w:after="80" w:line="247" w:lineRule="auto"/>
        <w:jc w:val="right"/>
        <w:bidi w:val="1"/>
      </w:pPr>
      <w:r>
        <w:rPr>
          <w:rFonts w:ascii="Noto Sans Arabic" w:hAnsi="Noto Sans Arabic" w:eastAsia="Noto Sans Arabic"/>
          <w:b w:val="0"/>
          <w:sz w:val="19"/>
        </w:rPr>
        <w:t>المقارنة بين comparable وreported هي مثال ممتاز على نقد المتن: gross margin comparable 46% مقابل 44.6% reported، وoperating margin comparable 9% مقابل -1% reported. الفرق يرتبط جزئياً بوتيرة restructuring والعناصر التي تدخل في reported presentation.</w:t>
      </w:r>
    </w:p>
    <w:p>
      <w:pPr>
        <w:jc w:val="center"/>
      </w:pPr>
      <w:r>
        <w:drawing>
          <wp:inline xmlns:a="http://schemas.openxmlformats.org/drawingml/2006/main" xmlns:pic="http://schemas.openxmlformats.org/drawingml/2006/picture">
            <wp:extent cx="5669280" cy="3033919"/>
            <wp:docPr id="11" name="Picture 11" descr="Image: image10.png"/>
            <wp:cNvGraphicFramePr>
              <a:graphicFrameLocks noChangeAspect="1"/>
            </wp:cNvGraphicFramePr>
            <a:graphic>
              <a:graphicData uri="http://schemas.openxmlformats.org/drawingml/2006/picture">
                <pic:pic>
                  <pic:nvPicPr>
                    <pic:cNvPr id="0" name="08_margins.png"/>
                    <pic:cNvPicPr/>
                  </pic:nvPicPr>
                  <pic:blipFill>
                    <a:blip r:embed="rId18"/>
                    <a:stretch>
                      <a:fillRect/>
                    </a:stretch>
                  </pic:blipFill>
                  <pic:spPr>
                    <a:xfrm>
                      <a:off x="0" y="0"/>
                      <a:ext cx="5669280" cy="3033919"/>
                    </a:xfrm>
                    <a:prstGeom prst="rect"/>
                  </pic:spPr>
                </pic:pic>
              </a:graphicData>
            </a:graphic>
          </wp:inline>
        </w:drawing>
      </w:r>
    </w:p>
    <w:p>
      <w:pPr>
        <w:spacing w:before="40" w:after="60"/>
        <w:jc w:val="left"/>
        <w:bidi w:val="0"/>
      </w:pPr>
      <w:r>
        <w:rPr>
          <w:rFonts w:ascii="Aptos" w:hAnsi="Aptos"/>
          <w:i/>
          <w:sz w:val="14"/>
        </w:rPr>
        <w:t>Sources / provenance: N4</w:t>
      </w:r>
    </w:p>
    <w:p>
      <w:pPr>
        <w:spacing w:before="20" w:after="0"/>
        <w:jc w:val="center"/>
      </w:pPr>
      <w:r>
        <w:rPr>
          <w:rFonts w:ascii="Noto Sans Arabic" w:hAnsi="Noto Sans Arabic" w:eastAsia="Noto Sans Arabic"/>
          <w:b/>
          <w:sz w:val="16"/>
        </w:rPr>
        <w:t>GSOS-APP-003 | صفحة 34 / 50 | 2026-09-05</w:t>
      </w:r>
    </w:p>
    <w:p>
      <w:r>
        <w:br w:type="page"/>
      </w:r>
    </w:p>
    <w:p>
      <w:pPr>
        <w:spacing w:before="0" w:after="20" w:line="247" w:lineRule="auto"/>
        <w:jc w:val="right"/>
        <w:bidi w:val="1"/>
      </w:pPr>
      <w:r>
        <w:rPr>
          <w:rFonts w:ascii="Noto Sans Arabic" w:hAnsi="Noto Sans Arabic" w:eastAsia="Noto Sans Arabic"/>
          <w:b/>
          <w:sz w:val="29"/>
        </w:rPr>
        <w:t>الصفحة 35 - R&amp;D</w:t>
      </w:r>
    </w:p>
    <w:p>
      <w:pPr>
        <w:spacing w:before="0" w:after="80" w:line="247" w:lineRule="auto"/>
        <w:jc w:val="right"/>
        <w:bidi w:val="1"/>
      </w:pPr>
      <w:r>
        <w:rPr>
          <w:rFonts w:ascii="Noto Sans Arabic" w:hAnsi="Noto Sans Arabic" w:eastAsia="Noto Sans Arabic"/>
          <w:b/>
          <w:sz w:val="20"/>
        </w:rPr>
        <w:t>الإنفاق على المستقبل لا يعني نجاحاً تلقائياً</w:t>
      </w:r>
    </w:p>
    <w:p>
      <w:pPr>
        <w:spacing w:before="0" w:after="80" w:line="247" w:lineRule="auto"/>
        <w:jc w:val="right"/>
        <w:bidi w:val="1"/>
      </w:pPr>
      <w:r>
        <w:rPr>
          <w:rFonts w:ascii="Noto Sans Arabic" w:hAnsi="Noto Sans Arabic" w:eastAsia="Noto Sans Arabic"/>
          <w:b w:val="0"/>
          <w:sz w:val="19"/>
        </w:rPr>
        <w:t>ارتفع R&amp;D expense في 2025 إلى EUR 4.855bn. منهج GSOS يجب أن يتجنب مغالطة: 'R&amp;D أعلى = نجاح مضمون'. الصحيح: R&amp;D قد يكون leading indicator، لكن يجب اختبار تحويله إلى patents/standards/product wins/orders/margin.</w:t>
      </w:r>
    </w:p>
    <w:p>
      <w:pPr>
        <w:jc w:val="center"/>
      </w:pPr>
      <w:r>
        <w:drawing>
          <wp:inline xmlns:a="http://schemas.openxmlformats.org/drawingml/2006/main" xmlns:pic="http://schemas.openxmlformats.org/drawingml/2006/picture">
            <wp:extent cx="5669280" cy="3033919"/>
            <wp:docPr id="12" name="Picture 12" descr="Image: image11.png"/>
            <wp:cNvGraphicFramePr>
              <a:graphicFrameLocks noChangeAspect="1"/>
            </wp:cNvGraphicFramePr>
            <a:graphic>
              <a:graphicData uri="http://schemas.openxmlformats.org/drawingml/2006/picture">
                <pic:pic>
                  <pic:nvPicPr>
                    <pic:cNvPr id="0" name="10_rd.png"/>
                    <pic:cNvPicPr/>
                  </pic:nvPicPr>
                  <pic:blipFill>
                    <a:blip r:embed="rId19"/>
                    <a:stretch>
                      <a:fillRect/>
                    </a:stretch>
                  </pic:blipFill>
                  <pic:spPr>
                    <a:xfrm>
                      <a:off x="0" y="0"/>
                      <a:ext cx="5669280" cy="3033919"/>
                    </a:xfrm>
                    <a:prstGeom prst="rect"/>
                  </pic:spPr>
                </pic:pic>
              </a:graphicData>
            </a:graphic>
          </wp:inline>
        </w:drawing>
      </w:r>
    </w:p>
    <w:p>
      <w:pPr>
        <w:spacing w:after="40"/>
        <w:jc w:val="center"/>
        <w:bidi w:val="1"/>
      </w:pPr>
      <w:r>
        <w:rPr>
          <w:rFonts w:ascii="Noto Sans Arabic" w:hAnsi="Noto Sans Arabic" w:eastAsia="Noto Sans Arabic"/>
          <w:b w:val="0"/>
          <w:sz w:val="16"/>
        </w:rPr>
        <w:t>Reported R&amp;D expense.</w:t>
      </w:r>
    </w:p>
    <w:p>
      <w:pPr>
        <w:spacing w:before="40" w:after="60"/>
        <w:jc w:val="left"/>
        <w:bidi w:val="0"/>
      </w:pPr>
      <w:r>
        <w:rPr>
          <w:rFonts w:ascii="Aptos" w:hAnsi="Aptos"/>
          <w:i/>
          <w:sz w:val="14"/>
        </w:rPr>
        <w:t>Sources / provenance: N5</w:t>
      </w:r>
    </w:p>
    <w:p>
      <w:pPr>
        <w:spacing w:before="20" w:after="0"/>
        <w:jc w:val="center"/>
      </w:pPr>
      <w:r>
        <w:rPr>
          <w:rFonts w:ascii="Noto Sans Arabic" w:hAnsi="Noto Sans Arabic" w:eastAsia="Noto Sans Arabic"/>
          <w:b/>
          <w:sz w:val="16"/>
        </w:rPr>
        <w:t>GSOS-APP-003 | صفحة 35 / 50 | 2026-09-05</w:t>
      </w:r>
    </w:p>
    <w:p>
      <w:r>
        <w:br w:type="page"/>
      </w:r>
    </w:p>
    <w:p>
      <w:pPr>
        <w:spacing w:before="0" w:after="20" w:line="247" w:lineRule="auto"/>
        <w:jc w:val="right"/>
        <w:bidi w:val="1"/>
      </w:pPr>
      <w:r>
        <w:rPr>
          <w:rFonts w:ascii="Noto Sans Arabic" w:hAnsi="Noto Sans Arabic" w:eastAsia="Noto Sans Arabic"/>
          <w:b/>
          <w:sz w:val="29"/>
        </w:rPr>
        <w:t>الصفحة 36 - AI &amp; Cloud</w:t>
      </w:r>
    </w:p>
    <w:p>
      <w:pPr>
        <w:spacing w:before="0" w:after="80" w:line="247" w:lineRule="auto"/>
        <w:jc w:val="right"/>
        <w:bidi w:val="1"/>
      </w:pPr>
      <w:r>
        <w:rPr>
          <w:rFonts w:ascii="Noto Sans Arabic" w:hAnsi="Noto Sans Arabic" w:eastAsia="Noto Sans Arabic"/>
          <w:b/>
          <w:sz w:val="20"/>
        </w:rPr>
        <w:t>من signal قوي إلى فرضية قابلة للتكذيب</w:t>
      </w:r>
    </w:p>
    <w:p>
      <w:pPr>
        <w:spacing w:before="0" w:after="80" w:line="247" w:lineRule="auto"/>
        <w:jc w:val="right"/>
        <w:bidi w:val="1"/>
      </w:pPr>
      <w:r>
        <w:rPr>
          <w:rFonts w:ascii="Noto Sans Arabic" w:hAnsi="Noto Sans Arabic" w:eastAsia="Noto Sans Arabic"/>
          <w:b w:val="0"/>
          <w:sz w:val="19"/>
        </w:rPr>
        <w:t>الـ49% في Q1 ثم 105% في Q2 إشارة قوية داخل المجموعة، لكن التنبؤ الجيد يسأل عن الاستمرارية والتحويل إلى revenue. Nokia قالت إن نحو نصف EUR 2.8bn من Q2 AI &amp; Cloud orders متوقع أن يتحول إلى revenue خلال 12 شهراً. هنا يظهر الفرق بين order signal وrecognized revenue.</w:t>
      </w:r>
    </w:p>
    <w:p>
      <w:pPr>
        <w:jc w:val="center"/>
      </w:pPr>
      <w:r>
        <w:drawing>
          <wp:inline xmlns:a="http://schemas.openxmlformats.org/drawingml/2006/main" xmlns:pic="http://schemas.openxmlformats.org/drawingml/2006/picture">
            <wp:extent cx="5669280" cy="3033919"/>
            <wp:docPr id="13" name="Picture 13" descr="Image: image12.png"/>
            <wp:cNvGraphicFramePr>
              <a:graphicFrameLocks noChangeAspect="1"/>
            </wp:cNvGraphicFramePr>
            <a:graphic>
              <a:graphicData uri="http://schemas.openxmlformats.org/drawingml/2006/picture">
                <pic:pic>
                  <pic:nvPicPr>
                    <pic:cNvPr id="0" name="11_ai_q1_q2.png"/>
                    <pic:cNvPicPr/>
                  </pic:nvPicPr>
                  <pic:blipFill>
                    <a:blip r:embed="rId20"/>
                    <a:stretch>
                      <a:fillRect/>
                    </a:stretch>
                  </pic:blipFill>
                  <pic:spPr>
                    <a:xfrm>
                      <a:off x="0" y="0"/>
                      <a:ext cx="5669280" cy="3033919"/>
                    </a:xfrm>
                    <a:prstGeom prst="rect"/>
                  </pic:spPr>
                </pic:pic>
              </a:graphicData>
            </a:graphic>
          </wp:inline>
        </w:drawing>
      </w:r>
    </w:p>
    <w:p>
      <w:pPr>
        <w:spacing w:after="40"/>
        <w:jc w:val="center"/>
        <w:bidi w:val="1"/>
      </w:pPr>
      <w:r>
        <w:rPr>
          <w:rFonts w:ascii="Noto Sans Arabic" w:hAnsi="Noto Sans Arabic" w:eastAsia="Noto Sans Arabic"/>
          <w:b w:val="0"/>
          <w:sz w:val="16"/>
        </w:rPr>
        <w:t>تمثيل زمني لمؤشرين منشورين؛ لا يعني أن 2026 خط مستقيم.</w:t>
      </w:r>
    </w:p>
    <w:p>
      <w:pPr>
        <w:spacing w:before="40" w:after="60"/>
        <w:jc w:val="left"/>
        <w:bidi w:val="0"/>
      </w:pPr>
      <w:r>
        <w:rPr>
          <w:rFonts w:ascii="Aptos" w:hAnsi="Aptos"/>
          <w:i/>
          <w:sz w:val="14"/>
        </w:rPr>
        <w:t>Sources / provenance: N3 + N4</w:t>
      </w:r>
    </w:p>
    <w:p>
      <w:pPr>
        <w:spacing w:before="20" w:after="0"/>
        <w:jc w:val="center"/>
      </w:pPr>
      <w:r>
        <w:rPr>
          <w:rFonts w:ascii="Noto Sans Arabic" w:hAnsi="Noto Sans Arabic" w:eastAsia="Noto Sans Arabic"/>
          <w:b/>
          <w:sz w:val="16"/>
        </w:rPr>
        <w:t>GSOS-APP-003 | صفحة 36 / 50 | 2026-09-05</w:t>
      </w:r>
    </w:p>
    <w:p>
      <w:r>
        <w:br w:type="page"/>
      </w:r>
    </w:p>
    <w:p>
      <w:pPr>
        <w:spacing w:before="0" w:after="20" w:line="247" w:lineRule="auto"/>
        <w:jc w:val="right"/>
        <w:bidi w:val="1"/>
      </w:pPr>
      <w:r>
        <w:rPr>
          <w:rFonts w:ascii="Noto Sans Arabic" w:hAnsi="Noto Sans Arabic" w:eastAsia="Noto Sans Arabic"/>
          <w:b/>
          <w:sz w:val="29"/>
        </w:rPr>
        <w:t>الصفحة 37 - Optical Networks</w:t>
      </w:r>
    </w:p>
    <w:p>
      <w:pPr>
        <w:spacing w:before="0" w:after="80" w:line="247" w:lineRule="auto"/>
        <w:jc w:val="right"/>
        <w:bidi w:val="1"/>
      </w:pPr>
      <w:r>
        <w:rPr>
          <w:rFonts w:ascii="Noto Sans Arabic" w:hAnsi="Noto Sans Arabic" w:eastAsia="Noto Sans Arabic"/>
          <w:b/>
          <w:sz w:val="20"/>
        </w:rPr>
        <w:t>لماذا البصريات أصبحت مركزية في عصر AI</w:t>
      </w:r>
    </w:p>
    <w:p>
      <w:pPr>
        <w:spacing w:before="0" w:after="80" w:line="247" w:lineRule="auto"/>
        <w:jc w:val="right"/>
        <w:bidi w:val="1"/>
      </w:pPr>
      <w:r>
        <w:rPr>
          <w:rFonts w:ascii="Noto Sans Arabic" w:hAnsi="Noto Sans Arabic" w:eastAsia="Noto Sans Arabic"/>
          <w:b w:val="0"/>
          <w:sz w:val="19"/>
        </w:rPr>
        <w:t>تحسن الطلب على البصريات لأن AI workloads تحتاج روابط عالية السعة ومنخفضة الكمون داخل وبين مراكز البيانات. Infinera عمّقت قدرات Nokia في optical، بينما Q1 وQ2 2026 سجلا نمواً 20% في Optical Networks. هذا يخلق hypothesis: 'Optical growth may persist if AI infrastructure capex remains strong' - لكن يجب اختبارها ضد supply constraints والمنافسة.</w:t>
      </w:r>
    </w:p>
    <w:p>
      <w:pPr>
        <w:jc w:val="center"/>
      </w:pPr>
      <w:r>
        <w:drawing>
          <wp:inline xmlns:a="http://schemas.openxmlformats.org/drawingml/2006/main" xmlns:pic="http://schemas.openxmlformats.org/drawingml/2006/picture">
            <wp:extent cx="5669280" cy="3033919"/>
            <wp:docPr id="14" name="Picture 14" descr="Image: image13.png"/>
            <wp:cNvGraphicFramePr>
              <a:graphicFrameLocks noChangeAspect="1"/>
            </wp:cNvGraphicFramePr>
            <a:graphic>
              <a:graphicData uri="http://schemas.openxmlformats.org/drawingml/2006/picture">
                <pic:pic>
                  <pic:nvPicPr>
                    <pic:cNvPr id="0" name="12_optical_q1_q2.png"/>
                    <pic:cNvPicPr/>
                  </pic:nvPicPr>
                  <pic:blipFill>
                    <a:blip r:embed="rId21"/>
                    <a:stretch>
                      <a:fillRect/>
                    </a:stretch>
                  </pic:blipFill>
                  <pic:spPr>
                    <a:xfrm>
                      <a:off x="0" y="0"/>
                      <a:ext cx="5669280" cy="3033919"/>
                    </a:xfrm>
                    <a:prstGeom prst="rect"/>
                  </pic:spPr>
                </pic:pic>
              </a:graphicData>
            </a:graphic>
          </wp:inline>
        </w:drawing>
      </w:r>
    </w:p>
    <w:p>
      <w:pPr>
        <w:spacing w:before="40" w:after="60"/>
        <w:jc w:val="left"/>
        <w:bidi w:val="0"/>
      </w:pPr>
      <w:r>
        <w:rPr>
          <w:rFonts w:ascii="Aptos" w:hAnsi="Aptos"/>
          <w:i/>
          <w:sz w:val="14"/>
        </w:rPr>
        <w:t>Sources / provenance: N3 + N4 + N8</w:t>
      </w:r>
    </w:p>
    <w:p>
      <w:pPr>
        <w:spacing w:before="20" w:after="0"/>
        <w:jc w:val="center"/>
      </w:pPr>
      <w:r>
        <w:rPr>
          <w:rFonts w:ascii="Noto Sans Arabic" w:hAnsi="Noto Sans Arabic" w:eastAsia="Noto Sans Arabic"/>
          <w:b/>
          <w:sz w:val="16"/>
        </w:rPr>
        <w:t>GSOS-APP-003 | صفحة 37 / 50 | 2026-09-05</w:t>
      </w:r>
    </w:p>
    <w:p>
      <w:r>
        <w:br w:type="page"/>
      </w:r>
    </w:p>
    <w:p>
      <w:pPr>
        <w:spacing w:before="0" w:after="20" w:line="247" w:lineRule="auto"/>
        <w:jc w:val="right"/>
        <w:bidi w:val="1"/>
      </w:pPr>
      <w:r>
        <w:rPr>
          <w:rFonts w:ascii="Noto Sans Arabic" w:hAnsi="Noto Sans Arabic" w:eastAsia="Noto Sans Arabic"/>
          <w:b/>
          <w:sz w:val="29"/>
        </w:rPr>
        <w:t>الصفحة 38 - IP Networks</w:t>
      </w:r>
    </w:p>
    <w:p>
      <w:pPr>
        <w:spacing w:before="0" w:after="80" w:line="247" w:lineRule="auto"/>
        <w:jc w:val="right"/>
        <w:bidi w:val="1"/>
      </w:pPr>
      <w:r>
        <w:rPr>
          <w:rFonts w:ascii="Noto Sans Arabic" w:hAnsi="Noto Sans Arabic" w:eastAsia="Noto Sans Arabic"/>
          <w:b/>
          <w:sz w:val="20"/>
        </w:rPr>
        <w:t>الإشارة التي قد تكمل optical</w:t>
      </w:r>
    </w:p>
    <w:p>
      <w:pPr>
        <w:spacing w:before="0" w:after="80" w:line="247" w:lineRule="auto"/>
        <w:jc w:val="right"/>
        <w:bidi w:val="1"/>
      </w:pPr>
      <w:r>
        <w:rPr>
          <w:rFonts w:ascii="Noto Sans Arabic" w:hAnsi="Noto Sans Arabic" w:eastAsia="Noto Sans Arabic"/>
          <w:b w:val="0"/>
          <w:sz w:val="19"/>
        </w:rPr>
        <w:t>في Q2 2026 نما IP Networks بنسبة 16%، وفي Q1 قالت Nokia إن IP pipeline مدفوع بتصميمات جديدة داخل AI &amp; Cloud use cases. النموذج لا يجب أن يكتفي بنمو الإيراد؛ بل يجمع pipeline + order intake + customer mix + product roadmap.</w:t>
      </w:r>
    </w:p>
    <w:p>
      <w:pPr>
        <w:pStyle w:val="ListBullet"/>
        <w:spacing w:after="24" w:line="240" w:lineRule="auto"/>
        <w:ind w:left="288" w:right="144"/>
        <w:jc w:val="right"/>
        <w:bidi w:val="1"/>
      </w:pPr>
      <w:r>
        <w:rPr>
          <w:rFonts w:ascii="Noto Sans Arabic" w:hAnsi="Noto Sans Arabic" w:eastAsia="Noto Sans Arabic"/>
          <w:sz w:val="18"/>
        </w:rPr>
        <w:t>leading: pipeline</w:t>
      </w:r>
    </w:p>
    <w:p>
      <w:pPr>
        <w:pStyle w:val="ListBullet"/>
        <w:spacing w:after="24" w:line="240" w:lineRule="auto"/>
        <w:ind w:left="288" w:right="144"/>
        <w:jc w:val="right"/>
        <w:bidi w:val="1"/>
      </w:pPr>
      <w:r>
        <w:rPr>
          <w:rFonts w:ascii="Noto Sans Arabic" w:hAnsi="Noto Sans Arabic" w:eastAsia="Noto Sans Arabic"/>
          <w:sz w:val="18"/>
        </w:rPr>
        <w:t>intermediate: orders</w:t>
      </w:r>
    </w:p>
    <w:p>
      <w:pPr>
        <w:pStyle w:val="ListBullet"/>
        <w:spacing w:after="24" w:line="240" w:lineRule="auto"/>
        <w:ind w:left="288" w:right="144"/>
        <w:jc w:val="right"/>
        <w:bidi w:val="1"/>
      </w:pPr>
      <w:r>
        <w:rPr>
          <w:rFonts w:ascii="Noto Sans Arabic" w:hAnsi="Noto Sans Arabic" w:eastAsia="Noto Sans Arabic"/>
          <w:sz w:val="18"/>
        </w:rPr>
        <w:t>lagging: revenue</w:t>
      </w:r>
    </w:p>
    <w:p>
      <w:pPr>
        <w:pStyle w:val="ListBullet"/>
        <w:spacing w:after="24" w:line="240" w:lineRule="auto"/>
        <w:ind w:left="288" w:right="144"/>
        <w:jc w:val="right"/>
        <w:bidi w:val="1"/>
      </w:pPr>
      <w:r>
        <w:rPr>
          <w:rFonts w:ascii="Noto Sans Arabic" w:hAnsi="Noto Sans Arabic" w:eastAsia="Noto Sans Arabic"/>
          <w:sz w:val="18"/>
        </w:rPr>
        <w:t>quality: margin/cash conversion</w:t>
      </w:r>
    </w:p>
    <w:p>
      <w:pPr>
        <w:spacing w:before="40" w:after="60"/>
        <w:jc w:val="left"/>
        <w:bidi w:val="0"/>
      </w:pPr>
      <w:r>
        <w:rPr>
          <w:rFonts w:ascii="Aptos" w:hAnsi="Aptos"/>
          <w:i/>
          <w:sz w:val="14"/>
        </w:rPr>
        <w:t>Sources / provenance: N3 + N4 + M2 p27</w:t>
      </w:r>
    </w:p>
    <w:p>
      <w:pPr>
        <w:spacing w:before="20" w:after="0"/>
        <w:jc w:val="center"/>
      </w:pPr>
      <w:r>
        <w:rPr>
          <w:rFonts w:ascii="Noto Sans Arabic" w:hAnsi="Noto Sans Arabic" w:eastAsia="Noto Sans Arabic"/>
          <w:b/>
          <w:sz w:val="16"/>
        </w:rPr>
        <w:t>GSOS-APP-003 | صفحة 38 / 50 | 2026-09-05</w:t>
      </w:r>
    </w:p>
    <w:p>
      <w:r>
        <w:br w:type="page"/>
      </w:r>
    </w:p>
    <w:p>
      <w:pPr>
        <w:spacing w:before="0" w:after="20" w:line="247" w:lineRule="auto"/>
        <w:jc w:val="right"/>
        <w:bidi w:val="1"/>
      </w:pPr>
      <w:r>
        <w:rPr>
          <w:rFonts w:ascii="Noto Sans Arabic" w:hAnsi="Noto Sans Arabic" w:eastAsia="Noto Sans Arabic"/>
          <w:b/>
          <w:sz w:val="29"/>
        </w:rPr>
        <w:t>الصفحة 39 - 2026 guidance</w:t>
      </w:r>
    </w:p>
    <w:p>
      <w:pPr>
        <w:spacing w:before="0" w:after="80" w:line="247" w:lineRule="auto"/>
        <w:jc w:val="right"/>
        <w:bidi w:val="1"/>
      </w:pPr>
      <w:r>
        <w:rPr>
          <w:rFonts w:ascii="Noto Sans Arabic" w:hAnsi="Noto Sans Arabic" w:eastAsia="Noto Sans Arabic"/>
          <w:b/>
          <w:sz w:val="20"/>
        </w:rPr>
        <w:t>المدى لا الرقم المفرد</w:t>
      </w:r>
    </w:p>
    <w:p>
      <w:pPr>
        <w:spacing w:before="0" w:after="80" w:line="247" w:lineRule="auto"/>
        <w:jc w:val="right"/>
        <w:bidi w:val="1"/>
      </w:pPr>
      <w:r>
        <w:rPr>
          <w:rFonts w:ascii="Noto Sans Arabic" w:hAnsi="Noto Sans Arabic" w:eastAsia="Noto Sans Arabic"/>
          <w:b w:val="0"/>
          <w:sz w:val="19"/>
        </w:rPr>
        <w:t>الـ2026 guidance المعدل يضع comparable operating profit بين EUR 2.1bn وEUR 2.6bn، مع نمو Network Infrastructure 12-14% وcombined Optical + IP target growth 18-20%. للـGSOS، المدى أكثر صدقاً من إعطاء نقطة واحدة؛ لأن التوقعات مشروطة بسوق وFX وexecution.</w:t>
      </w:r>
    </w:p>
    <w:p>
      <w:pPr>
        <w:jc w:val="center"/>
      </w:pPr>
      <w:r>
        <w:drawing>
          <wp:inline xmlns:a="http://schemas.openxmlformats.org/drawingml/2006/main" xmlns:pic="http://schemas.openxmlformats.org/drawingml/2006/picture">
            <wp:extent cx="5669280" cy="3033919"/>
            <wp:docPr id="15" name="Picture 15" descr="Image: image14.png"/>
            <wp:cNvGraphicFramePr>
              <a:graphicFrameLocks noChangeAspect="1"/>
            </wp:cNvGraphicFramePr>
            <a:graphic>
              <a:graphicData uri="http://schemas.openxmlformats.org/drawingml/2006/picture">
                <pic:pic>
                  <pic:nvPicPr>
                    <pic:cNvPr id="0" name="16_guidance.png"/>
                    <pic:cNvPicPr/>
                  </pic:nvPicPr>
                  <pic:blipFill>
                    <a:blip r:embed="rId22"/>
                    <a:stretch>
                      <a:fillRect/>
                    </a:stretch>
                  </pic:blipFill>
                  <pic:spPr>
                    <a:xfrm>
                      <a:off x="0" y="0"/>
                      <a:ext cx="5669280" cy="3033919"/>
                    </a:xfrm>
                    <a:prstGeom prst="rect"/>
                  </pic:spPr>
                </pic:pic>
              </a:graphicData>
            </a:graphic>
          </wp:inline>
        </w:drawing>
      </w:r>
    </w:p>
    <w:p>
      <w:pPr>
        <w:spacing w:before="40" w:after="60"/>
        <w:jc w:val="left"/>
        <w:bidi w:val="0"/>
      </w:pPr>
      <w:r>
        <w:rPr>
          <w:rFonts w:ascii="Aptos" w:hAnsi="Aptos"/>
          <w:i/>
          <w:sz w:val="14"/>
        </w:rPr>
        <w:t>Sources / provenance: N3 + N4 + M2 p32</w:t>
      </w:r>
    </w:p>
    <w:p>
      <w:pPr>
        <w:spacing w:before="20" w:after="0"/>
        <w:jc w:val="center"/>
      </w:pPr>
      <w:r>
        <w:rPr>
          <w:rFonts w:ascii="Noto Sans Arabic" w:hAnsi="Noto Sans Arabic" w:eastAsia="Noto Sans Arabic"/>
          <w:b/>
          <w:sz w:val="16"/>
        </w:rPr>
        <w:t>GSOS-APP-003 | صفحة 39 / 50 | 2026-09-05</w:t>
      </w:r>
    </w:p>
    <w:p>
      <w:r>
        <w:br w:type="page"/>
      </w:r>
    </w:p>
    <w:p>
      <w:pPr>
        <w:spacing w:before="0" w:after="20" w:line="247" w:lineRule="auto"/>
        <w:jc w:val="right"/>
        <w:bidi w:val="1"/>
      </w:pPr>
      <w:r>
        <w:rPr>
          <w:rFonts w:ascii="Noto Sans Arabic" w:hAnsi="Noto Sans Arabic" w:eastAsia="Noto Sans Arabic"/>
          <w:b/>
          <w:sz w:val="29"/>
        </w:rPr>
        <w:t>الصفحة 40 - AI-native RAN</w:t>
      </w:r>
    </w:p>
    <w:p>
      <w:pPr>
        <w:spacing w:before="0" w:after="80" w:line="247" w:lineRule="auto"/>
        <w:jc w:val="right"/>
        <w:bidi w:val="1"/>
      </w:pPr>
      <w:r>
        <w:rPr>
          <w:rFonts w:ascii="Noto Sans Arabic" w:hAnsi="Noto Sans Arabic" w:eastAsia="Noto Sans Arabic"/>
          <w:b/>
          <w:sz w:val="20"/>
        </w:rPr>
        <w:t>من AI على الشبكة إلى AI داخل الشبكة</w:t>
      </w:r>
    </w:p>
    <w:p>
      <w:pPr>
        <w:spacing w:before="0" w:after="80" w:line="247" w:lineRule="auto"/>
        <w:jc w:val="right"/>
        <w:bidi w:val="1"/>
      </w:pPr>
      <w:r>
        <w:rPr>
          <w:rFonts w:ascii="Noto Sans Arabic" w:hAnsi="Noto Sans Arabic" w:eastAsia="Noto Sans Arabic"/>
          <w:b w:val="0"/>
          <w:sz w:val="19"/>
        </w:rPr>
        <w:t>في 15 يوليو 2026 أعلنت Nokia منصة AI-native RAN تجارية مبنية على anyRAN وNVIDIA Aerial AI-RAN، مع طموح معلن لأكثر من 100% gain في spectral efficiency بحلول 2028. في المختبر يجب تصنيف هذا كـcompany claim / forward-looking technical ambition وليس كحقيقة مستقبلية محققة.</w:t>
      </w:r>
    </w:p>
    <w:p>
      <w:pPr>
        <w:pStyle w:val="ListBullet"/>
        <w:spacing w:after="24" w:line="240" w:lineRule="auto"/>
        <w:ind w:left="288" w:right="144"/>
        <w:jc w:val="right"/>
        <w:bidi w:val="1"/>
      </w:pPr>
      <w:r>
        <w:rPr>
          <w:rFonts w:ascii="Noto Sans Arabic" w:hAnsi="Noto Sans Arabic" w:eastAsia="Noto Sans Arabic"/>
          <w:sz w:val="18"/>
        </w:rPr>
        <w:t>Evidence class: announced product/platform</w:t>
      </w:r>
    </w:p>
    <w:p>
      <w:pPr>
        <w:pStyle w:val="ListBullet"/>
        <w:spacing w:after="24" w:line="240" w:lineRule="auto"/>
        <w:ind w:left="288" w:right="144"/>
        <w:jc w:val="right"/>
        <w:bidi w:val="1"/>
      </w:pPr>
      <w:r>
        <w:rPr>
          <w:rFonts w:ascii="Noto Sans Arabic" w:hAnsi="Noto Sans Arabic" w:eastAsia="Noto Sans Arabic"/>
          <w:sz w:val="18"/>
        </w:rPr>
        <w:t>Claim class: forward-looking ambition</w:t>
      </w:r>
    </w:p>
    <w:p>
      <w:pPr>
        <w:pStyle w:val="ListBullet"/>
        <w:spacing w:after="24" w:line="240" w:lineRule="auto"/>
        <w:ind w:left="288" w:right="144"/>
        <w:jc w:val="right"/>
        <w:bidi w:val="1"/>
      </w:pPr>
      <w:r>
        <w:rPr>
          <w:rFonts w:ascii="Noto Sans Arabic" w:hAnsi="Noto Sans Arabic" w:eastAsia="Noto Sans Arabic"/>
          <w:sz w:val="18"/>
        </w:rPr>
        <w:t>Test class: later independent performance evidence</w:t>
      </w:r>
    </w:p>
    <w:p>
      <w:pPr>
        <w:spacing w:before="40" w:after="60"/>
        <w:jc w:val="left"/>
        <w:bidi w:val="0"/>
      </w:pPr>
      <w:r>
        <w:rPr>
          <w:rFonts w:ascii="Aptos" w:hAnsi="Aptos"/>
          <w:i/>
          <w:sz w:val="14"/>
        </w:rPr>
        <w:t>Sources / provenance: N10 + M2 p33</w:t>
      </w:r>
    </w:p>
    <w:p>
      <w:pPr>
        <w:spacing w:before="20" w:after="0"/>
        <w:jc w:val="center"/>
      </w:pPr>
      <w:r>
        <w:rPr>
          <w:rFonts w:ascii="Noto Sans Arabic" w:hAnsi="Noto Sans Arabic" w:eastAsia="Noto Sans Arabic"/>
          <w:b/>
          <w:sz w:val="16"/>
        </w:rPr>
        <w:t>GSOS-APP-003 | صفحة 40 / 50 | 2026-09-05</w:t>
      </w:r>
    </w:p>
    <w:p>
      <w:r>
        <w:br w:type="page"/>
      </w:r>
    </w:p>
    <w:p>
      <w:pPr>
        <w:spacing w:before="0" w:after="20" w:line="247" w:lineRule="auto"/>
        <w:jc w:val="right"/>
        <w:bidi w:val="1"/>
      </w:pPr>
      <w:r>
        <w:rPr>
          <w:rFonts w:ascii="Noto Sans Arabic" w:hAnsi="Noto Sans Arabic" w:eastAsia="Noto Sans Arabic"/>
          <w:b/>
          <w:sz w:val="29"/>
        </w:rPr>
        <w:t>الصفحة 41 - Autonomous Networks</w:t>
      </w:r>
    </w:p>
    <w:p>
      <w:pPr>
        <w:spacing w:before="0" w:after="80" w:line="247" w:lineRule="auto"/>
        <w:jc w:val="right"/>
        <w:bidi w:val="1"/>
      </w:pPr>
      <w:r>
        <w:rPr>
          <w:rFonts w:ascii="Noto Sans Arabic" w:hAnsi="Noto Sans Arabic" w:eastAsia="Noto Sans Arabic"/>
          <w:b/>
          <w:sz w:val="20"/>
        </w:rPr>
        <w:t>الأتمتة كمؤشر بنيوي</w:t>
      </w:r>
    </w:p>
    <w:p>
      <w:pPr>
        <w:spacing w:before="0" w:after="80" w:line="247" w:lineRule="auto"/>
        <w:jc w:val="right"/>
        <w:bidi w:val="1"/>
      </w:pPr>
      <w:r>
        <w:rPr>
          <w:rFonts w:ascii="Noto Sans Arabic" w:hAnsi="Noto Sans Arabic" w:eastAsia="Noto Sans Arabic"/>
          <w:b w:val="0"/>
          <w:sz w:val="19"/>
        </w:rPr>
        <w:t>تتحدث Nokia عن Agent Library وAutonomous Networks Suite وMantaRay SMO وagentic AI frameworks. في 1 سبتمبر 2026 أعلنت مركز R&amp;D في الرياض يركز على AI-powered network automation وorchestration، مع أهداف مثل self-configure وself-heal وoptimize. هذه الإشارة أكثر قوة من مجرد marketing slogan لأنها مرتبطة ببنية بحث وتطوير معلنة، لكنها لا تزال لا تثبت أثراً مالياً نهائياً.</w:t>
      </w:r>
    </w:p>
    <w:p>
      <w:pPr>
        <w:spacing w:before="40" w:after="60"/>
        <w:jc w:val="left"/>
        <w:bidi w:val="0"/>
      </w:pPr>
      <w:r>
        <w:rPr>
          <w:rFonts w:ascii="Aptos" w:hAnsi="Aptos"/>
          <w:i/>
          <w:sz w:val="14"/>
        </w:rPr>
        <w:t>Sources / provenance: N11 + M2 p34</w:t>
      </w:r>
    </w:p>
    <w:p>
      <w:pPr>
        <w:spacing w:before="20" w:after="0"/>
        <w:jc w:val="center"/>
      </w:pPr>
      <w:r>
        <w:rPr>
          <w:rFonts w:ascii="Noto Sans Arabic" w:hAnsi="Noto Sans Arabic" w:eastAsia="Noto Sans Arabic"/>
          <w:b/>
          <w:sz w:val="16"/>
        </w:rPr>
        <w:t>GSOS-APP-003 | صفحة 41 / 50 | 2026-09-05</w:t>
      </w:r>
    </w:p>
    <w:p>
      <w:r>
        <w:br w:type="page"/>
      </w:r>
    </w:p>
    <w:p>
      <w:pPr>
        <w:spacing w:before="0" w:after="20" w:line="247" w:lineRule="auto"/>
        <w:jc w:val="right"/>
        <w:bidi w:val="1"/>
      </w:pPr>
      <w:r>
        <w:rPr>
          <w:rFonts w:ascii="Noto Sans Arabic" w:hAnsi="Noto Sans Arabic" w:eastAsia="Noto Sans Arabic"/>
          <w:b/>
          <w:sz w:val="29"/>
        </w:rPr>
        <w:t>الصفحة 42 - Cybersecurity</w:t>
      </w:r>
    </w:p>
    <w:p>
      <w:pPr>
        <w:spacing w:before="0" w:after="80" w:line="247" w:lineRule="auto"/>
        <w:jc w:val="right"/>
        <w:bidi w:val="1"/>
      </w:pPr>
      <w:r>
        <w:rPr>
          <w:rFonts w:ascii="Noto Sans Arabic" w:hAnsi="Noto Sans Arabic" w:eastAsia="Noto Sans Arabic"/>
          <w:b/>
          <w:sz w:val="20"/>
        </w:rPr>
        <w:t>نموذج GSOS يجب أن يفصل الحماية عن الادعاء</w:t>
      </w:r>
    </w:p>
    <w:p>
      <w:pPr>
        <w:spacing w:before="0" w:after="80" w:line="247" w:lineRule="auto"/>
        <w:jc w:val="right"/>
        <w:bidi w:val="1"/>
      </w:pPr>
      <w:r>
        <w:rPr>
          <w:rFonts w:ascii="Noto Sans Arabic" w:hAnsi="Noto Sans Arabic" w:eastAsia="Noto Sans Arabic"/>
          <w:b w:val="0"/>
          <w:sz w:val="19"/>
        </w:rPr>
        <w:t>المادة المرفوعة تذكر Security by design وDeepfield Genome Shield وASTaR وquantum-resilient security. المطلوب منهجياً هو عدم تحويل وجود منتج أمني إلى ادعاء أن Nokia 'آمنة'. على النموذج قياس capabilities المعلنة، حالات النشر، الاختبارات المستقلة حيث تتوفر، والحوادث أو الثغرات المنشورة.</w:t>
      </w:r>
    </w:p>
    <w:p>
      <w:pPr>
        <w:pStyle w:val="ListBullet"/>
        <w:spacing w:after="24" w:line="240" w:lineRule="auto"/>
        <w:ind w:left="288" w:right="144"/>
        <w:jc w:val="right"/>
        <w:bidi w:val="1"/>
      </w:pPr>
      <w:r>
        <w:rPr>
          <w:rFonts w:ascii="Noto Sans Arabic" w:hAnsi="Noto Sans Arabic" w:eastAsia="Noto Sans Arabic"/>
          <w:sz w:val="18"/>
        </w:rPr>
        <w:t>معلن: capability</w:t>
      </w:r>
    </w:p>
    <w:p>
      <w:pPr>
        <w:pStyle w:val="ListBullet"/>
        <w:spacing w:after="24" w:line="240" w:lineRule="auto"/>
        <w:ind w:left="288" w:right="144"/>
        <w:jc w:val="right"/>
        <w:bidi w:val="1"/>
      </w:pPr>
      <w:r>
        <w:rPr>
          <w:rFonts w:ascii="Noto Sans Arabic" w:hAnsi="Noto Sans Arabic" w:eastAsia="Noto Sans Arabic"/>
          <w:sz w:val="18"/>
        </w:rPr>
        <w:t>متحقق: test result</w:t>
      </w:r>
    </w:p>
    <w:p>
      <w:pPr>
        <w:pStyle w:val="ListBullet"/>
        <w:spacing w:after="24" w:line="240" w:lineRule="auto"/>
        <w:ind w:left="288" w:right="144"/>
        <w:jc w:val="right"/>
        <w:bidi w:val="1"/>
      </w:pPr>
      <w:r>
        <w:rPr>
          <w:rFonts w:ascii="Noto Sans Arabic" w:hAnsi="Noto Sans Arabic" w:eastAsia="Noto Sans Arabic"/>
          <w:sz w:val="18"/>
        </w:rPr>
        <w:t>غير مسموح: general safety claim بدون evidence</w:t>
      </w:r>
    </w:p>
    <w:p>
      <w:pPr>
        <w:spacing w:before="40" w:after="60"/>
        <w:jc w:val="left"/>
        <w:bidi w:val="0"/>
      </w:pPr>
      <w:r>
        <w:rPr>
          <w:rFonts w:ascii="Aptos" w:hAnsi="Aptos"/>
          <w:i/>
          <w:sz w:val="14"/>
        </w:rPr>
        <w:t>Sources / provenance: M2 p37 + N13/N11</w:t>
      </w:r>
    </w:p>
    <w:p>
      <w:pPr>
        <w:spacing w:before="20" w:after="0"/>
        <w:jc w:val="center"/>
      </w:pPr>
      <w:r>
        <w:rPr>
          <w:rFonts w:ascii="Noto Sans Arabic" w:hAnsi="Noto Sans Arabic" w:eastAsia="Noto Sans Arabic"/>
          <w:b/>
          <w:sz w:val="16"/>
        </w:rPr>
        <w:t>GSOS-APP-003 | صفحة 42 / 50 | 2026-09-05</w:t>
      </w:r>
    </w:p>
    <w:p>
      <w:r>
        <w:br w:type="page"/>
      </w:r>
    </w:p>
    <w:p>
      <w:pPr>
        <w:spacing w:before="0" w:after="20" w:line="247" w:lineRule="auto"/>
        <w:jc w:val="right"/>
        <w:bidi w:val="1"/>
      </w:pPr>
      <w:r>
        <w:rPr>
          <w:rFonts w:ascii="Noto Sans Arabic" w:hAnsi="Noto Sans Arabic" w:eastAsia="Noto Sans Arabic"/>
          <w:b/>
          <w:sz w:val="29"/>
        </w:rPr>
        <w:t>الصفحة 43 - Defense</w:t>
      </w:r>
    </w:p>
    <w:p>
      <w:pPr>
        <w:spacing w:before="0" w:after="80" w:line="247" w:lineRule="auto"/>
        <w:jc w:val="right"/>
        <w:bidi w:val="1"/>
      </w:pPr>
      <w:r>
        <w:rPr>
          <w:rFonts w:ascii="Noto Sans Arabic" w:hAnsi="Noto Sans Arabic" w:eastAsia="Noto Sans Arabic"/>
          <w:b/>
          <w:sz w:val="20"/>
        </w:rPr>
        <w:t>التوسع في mission-critical connectivity</w:t>
      </w:r>
    </w:p>
    <w:p>
      <w:pPr>
        <w:spacing w:before="0" w:after="80" w:line="247" w:lineRule="auto"/>
        <w:jc w:val="right"/>
        <w:bidi w:val="1"/>
      </w:pPr>
      <w:r>
        <w:rPr>
          <w:rFonts w:ascii="Noto Sans Arabic" w:hAnsi="Noto Sans Arabic" w:eastAsia="Noto Sans Arabic"/>
          <w:b w:val="0"/>
          <w:sz w:val="19"/>
        </w:rPr>
        <w:t>توسع Nokia في defense عبر Fenix يوضح انتقالاً إلى مجالات اتصال حرجة. من منظور المختبر، defense يوفر إشارات مهمة لكن يتطلب حداً أعلى من الحجب لأن بعض البيانات التشغيلية قد تكون حساسة. لذلك يستخدم GSOS aggregated public data فقط.</w:t>
      </w:r>
    </w:p>
    <w:p>
      <w:pPr>
        <w:spacing w:before="40" w:after="60"/>
        <w:jc w:val="left"/>
        <w:bidi w:val="0"/>
      </w:pPr>
      <w:r>
        <w:rPr>
          <w:rFonts w:ascii="Aptos" w:hAnsi="Aptos"/>
          <w:i/>
          <w:sz w:val="14"/>
        </w:rPr>
        <w:t>Sources / provenance: N9 + N11 + M2 p38</w:t>
      </w:r>
    </w:p>
    <w:p>
      <w:pPr>
        <w:spacing w:before="20" w:after="0"/>
        <w:jc w:val="center"/>
      </w:pPr>
      <w:r>
        <w:rPr>
          <w:rFonts w:ascii="Noto Sans Arabic" w:hAnsi="Noto Sans Arabic" w:eastAsia="Noto Sans Arabic"/>
          <w:b/>
          <w:sz w:val="16"/>
        </w:rPr>
        <w:t>GSOS-APP-003 | صفحة 43 / 50 | 2026-09-05</w:t>
      </w:r>
    </w:p>
    <w:p>
      <w:r>
        <w:br w:type="page"/>
      </w:r>
    </w:p>
    <w:p>
      <w:pPr>
        <w:spacing w:before="0" w:after="20" w:line="247" w:lineRule="auto"/>
        <w:jc w:val="right"/>
        <w:bidi w:val="1"/>
      </w:pPr>
      <w:r>
        <w:rPr>
          <w:rFonts w:ascii="Noto Sans Arabic" w:hAnsi="Noto Sans Arabic" w:eastAsia="Noto Sans Arabic"/>
          <w:b/>
          <w:sz w:val="29"/>
        </w:rPr>
        <w:t>الصفحة 44 - Space</w:t>
      </w:r>
    </w:p>
    <w:p>
      <w:pPr>
        <w:spacing w:before="0" w:after="80" w:line="247" w:lineRule="auto"/>
        <w:jc w:val="right"/>
        <w:bidi w:val="1"/>
      </w:pPr>
      <w:r>
        <w:rPr>
          <w:rFonts w:ascii="Noto Sans Arabic" w:hAnsi="Noto Sans Arabic" w:eastAsia="Noto Sans Arabic"/>
          <w:b/>
          <w:sz w:val="20"/>
        </w:rPr>
        <w:t>اختبار الابتكار بعيد المدى</w:t>
      </w:r>
    </w:p>
    <w:p>
      <w:pPr>
        <w:spacing w:before="0" w:after="80" w:line="247" w:lineRule="auto"/>
        <w:jc w:val="right"/>
        <w:bidi w:val="1"/>
      </w:pPr>
      <w:r>
        <w:rPr>
          <w:rFonts w:ascii="Noto Sans Arabic" w:hAnsi="Noto Sans Arabic" w:eastAsia="Noto Sans Arabic"/>
          <w:b w:val="0"/>
          <w:sz w:val="19"/>
        </w:rPr>
        <w:t>أعلنت Nokia في 2025 أن شبكة LTE القمرية ضمن IM-2 وصلت إلى القمر وفعّلت ونقلت بيانات تشغيلية، لكنها لم تنجح في إجراء أول مكالمة خلوية على القمر بسبب قيود القدرة بعد الهبوط. هذه حالة تعليمية ممتازة: النجاح الجزئي لا يتحول إلى 'نجاح كامل' عند التوثيق.</w:t>
      </w:r>
    </w:p>
    <w:p>
      <w:pPr>
        <w:pStyle w:val="ListBullet"/>
        <w:spacing w:after="24" w:line="240" w:lineRule="auto"/>
        <w:ind w:left="288" w:right="144"/>
        <w:jc w:val="right"/>
        <w:bidi w:val="1"/>
      </w:pPr>
      <w:r>
        <w:rPr>
          <w:rFonts w:ascii="Noto Sans Arabic" w:hAnsi="Noto Sans Arabic" w:eastAsia="Noto Sans Arabic"/>
          <w:sz w:val="18"/>
        </w:rPr>
        <w:t>Success: network activated + operational data</w:t>
      </w:r>
    </w:p>
    <w:p>
      <w:pPr>
        <w:pStyle w:val="ListBullet"/>
        <w:spacing w:after="24" w:line="240" w:lineRule="auto"/>
        <w:ind w:left="288" w:right="144"/>
        <w:jc w:val="right"/>
        <w:bidi w:val="1"/>
      </w:pPr>
      <w:r>
        <w:rPr>
          <w:rFonts w:ascii="Noto Sans Arabic" w:hAnsi="Noto Sans Arabic" w:eastAsia="Noto Sans Arabic"/>
          <w:sz w:val="18"/>
        </w:rPr>
        <w:t>Failure: first cellular call not achieved</w:t>
      </w:r>
    </w:p>
    <w:p>
      <w:pPr>
        <w:pStyle w:val="ListBullet"/>
        <w:spacing w:after="24" w:line="240" w:lineRule="auto"/>
        <w:ind w:left="288" w:right="144"/>
        <w:jc w:val="right"/>
        <w:bidi w:val="1"/>
      </w:pPr>
      <w:r>
        <w:rPr>
          <w:rFonts w:ascii="Noto Sans Arabic" w:hAnsi="Noto Sans Arabic" w:eastAsia="Noto Sans Arabic"/>
          <w:sz w:val="18"/>
        </w:rPr>
        <w:t>Academic lesson: preserve both</w:t>
      </w:r>
    </w:p>
    <w:p>
      <w:pPr>
        <w:spacing w:before="40" w:after="60"/>
        <w:jc w:val="left"/>
        <w:bidi w:val="0"/>
      </w:pPr>
      <w:r>
        <w:rPr>
          <w:rFonts w:ascii="Aptos" w:hAnsi="Aptos"/>
          <w:i/>
          <w:sz w:val="14"/>
        </w:rPr>
        <w:t>Sources / provenance: N12 + M2 p39</w:t>
      </w:r>
    </w:p>
    <w:p>
      <w:pPr>
        <w:spacing w:before="20" w:after="0"/>
        <w:jc w:val="center"/>
      </w:pPr>
      <w:r>
        <w:rPr>
          <w:rFonts w:ascii="Noto Sans Arabic" w:hAnsi="Noto Sans Arabic" w:eastAsia="Noto Sans Arabic"/>
          <w:b/>
          <w:sz w:val="16"/>
        </w:rPr>
        <w:t>GSOS-APP-003 | صفحة 44 / 50 | 2026-09-05</w:t>
      </w:r>
    </w:p>
    <w:p>
      <w:r>
        <w:br w:type="page"/>
      </w:r>
    </w:p>
    <w:p>
      <w:pPr>
        <w:spacing w:before="0" w:after="20" w:line="247" w:lineRule="auto"/>
        <w:jc w:val="right"/>
        <w:bidi w:val="1"/>
      </w:pPr>
      <w:r>
        <w:rPr>
          <w:rFonts w:ascii="Noto Sans Arabic" w:hAnsi="Noto Sans Arabic" w:eastAsia="Noto Sans Arabic"/>
          <w:b/>
          <w:sz w:val="29"/>
        </w:rPr>
        <w:t>الصفحة 45 - Bell Labs و6G</w:t>
      </w:r>
    </w:p>
    <w:p>
      <w:pPr>
        <w:spacing w:before="0" w:after="80" w:line="247" w:lineRule="auto"/>
        <w:jc w:val="right"/>
        <w:bidi w:val="1"/>
      </w:pPr>
      <w:r>
        <w:rPr>
          <w:rFonts w:ascii="Noto Sans Arabic" w:hAnsi="Noto Sans Arabic" w:eastAsia="Noto Sans Arabic"/>
          <w:b/>
          <w:sz w:val="20"/>
        </w:rPr>
        <w:t>الحاضر يقود إلى أفق أبعد</w:t>
      </w:r>
    </w:p>
    <w:p>
      <w:pPr>
        <w:spacing w:before="0" w:after="80" w:line="247" w:lineRule="auto"/>
        <w:jc w:val="right"/>
        <w:bidi w:val="1"/>
      </w:pPr>
      <w:r>
        <w:rPr>
          <w:rFonts w:ascii="Noto Sans Arabic" w:hAnsi="Noto Sans Arabic" w:eastAsia="Noto Sans Arabic"/>
          <w:b w:val="0"/>
          <w:sz w:val="19"/>
        </w:rPr>
        <w:t>تذكر Nokia أن Bell Labs بدأت أبحاث 6G في 2018، وأن العمل الحالي يجمع AI/software، sensing، quantum، network fundamentals وautomation. في النموذج، هذه إشارات long-horizon وليست تنبؤاً مؤكداً بالإيرادات. يجب بناء bridge من research -&gt; standard -&gt; patent -&gt; product -&gt; customer -&gt; revenue.</w:t>
      </w:r>
    </w:p>
    <w:p>
      <w:pPr>
        <w:spacing w:before="40" w:after="60"/>
        <w:jc w:val="left"/>
        <w:bidi w:val="0"/>
      </w:pPr>
      <w:r>
        <w:rPr>
          <w:rFonts w:ascii="Aptos" w:hAnsi="Aptos"/>
          <w:i/>
          <w:sz w:val="14"/>
        </w:rPr>
        <w:t>Sources / provenance: N13 + M2 pp36,40-41</w:t>
      </w:r>
    </w:p>
    <w:p>
      <w:pPr>
        <w:spacing w:before="20" w:after="0"/>
        <w:jc w:val="center"/>
      </w:pPr>
      <w:r>
        <w:rPr>
          <w:rFonts w:ascii="Noto Sans Arabic" w:hAnsi="Noto Sans Arabic" w:eastAsia="Noto Sans Arabic"/>
          <w:b/>
          <w:sz w:val="16"/>
        </w:rPr>
        <w:t>GSOS-APP-003 | صفحة 45 / 50 | 2026-09-05</w:t>
      </w:r>
    </w:p>
    <w:p>
      <w:r>
        <w:br w:type="page"/>
      </w:r>
    </w:p>
    <w:p>
      <w:pPr>
        <w:spacing w:before="0" w:after="20" w:line="247" w:lineRule="auto"/>
        <w:jc w:val="right"/>
        <w:bidi w:val="1"/>
      </w:pPr>
      <w:r>
        <w:rPr>
          <w:rFonts w:ascii="Noto Sans Arabic" w:hAnsi="Noto Sans Arabic" w:eastAsia="Noto Sans Arabic"/>
          <w:b/>
          <w:sz w:val="29"/>
        </w:rPr>
        <w:t>الصفحة 46 - قراءة أسباب الصعود والهبوط</w:t>
      </w:r>
    </w:p>
    <w:p>
      <w:pPr>
        <w:spacing w:before="0" w:after="80" w:line="247" w:lineRule="auto"/>
        <w:jc w:val="right"/>
        <w:bidi w:val="1"/>
      </w:pPr>
      <w:r>
        <w:rPr>
          <w:rFonts w:ascii="Noto Sans Arabic" w:hAnsi="Noto Sans Arabic" w:eastAsia="Noto Sans Arabic"/>
          <w:b/>
          <w:sz w:val="20"/>
        </w:rPr>
        <w:t>منطق سببي متعدد العوامل</w:t>
      </w:r>
    </w:p>
    <w:p>
      <w:pPr>
        <w:spacing w:before="0" w:after="80" w:line="247" w:lineRule="auto"/>
        <w:jc w:val="right"/>
        <w:bidi w:val="1"/>
      </w:pPr>
      <w:r>
        <w:rPr>
          <w:rFonts w:ascii="Noto Sans Arabic" w:hAnsi="Noto Sans Arabic" w:eastAsia="Noto Sans Arabic"/>
          <w:b w:val="0"/>
          <w:sz w:val="19"/>
        </w:rPr>
        <w:t>ارتفاع Nokia في عصر الهواتف لم ينتج من عامل منفرد: scale، distribution، operator relationships، brand، reliability، GSM timing. وفي الهبوط ظهرت ecosystem competition وapp stores وtouchscreen smartphones وcloud services وexecution speed. لذلك لا ينبغي لـGSOS أن يستبدل قصة أحادية العامل بنظرية أحادية العامل جديدة.</w:t>
      </w:r>
    </w:p>
    <w:tbl>
      <w:tblPr>
        <w:tblStyle w:val="TableGrid"/>
        <w:tblW w:type="auto" w:w="0"/>
        <w:jc w:val="center"/>
        <w:tblLook w:firstColumn="1" w:firstRow="1" w:lastColumn="0" w:lastRow="0" w:noHBand="0" w:noVBand="1" w:val="04A0"/>
      </w:tblPr>
      <w:tblGrid>
        <w:gridCol w:w="3504"/>
        <w:gridCol w:w="3504"/>
        <w:gridCol w:w="3504"/>
      </w:tblGrid>
      <w:tr>
        <w:tc>
          <w:tcPr>
            <w:tcW w:type="dxa" w:w="3504"/>
            <w:shd w:fill="D9E2F3"/>
            <w:vAlign w:val="center"/>
          </w:tcPr>
          <w:p>
            <w:pPr>
              <w:jc w:val="center"/>
            </w:pPr>
            <w:r/>
            <w:r>
              <w:rPr>
                <w:rFonts w:ascii="Noto Sans Arabic" w:hAnsi="Noto Sans Arabic" w:eastAsia="Noto Sans Arabic"/>
                <w:b/>
                <w:sz w:val="16"/>
              </w:rPr>
              <w:t>مرحلة</w:t>
            </w:r>
          </w:p>
        </w:tc>
        <w:tc>
          <w:tcPr>
            <w:tcW w:type="dxa" w:w="3504"/>
            <w:shd w:fill="D9E2F3"/>
            <w:vAlign w:val="center"/>
          </w:tcPr>
          <w:p>
            <w:pPr>
              <w:jc w:val="center"/>
            </w:pPr>
            <w:r/>
            <w:r>
              <w:rPr>
                <w:rFonts w:ascii="Noto Sans Arabic" w:hAnsi="Noto Sans Arabic" w:eastAsia="Noto Sans Arabic"/>
                <w:b/>
                <w:sz w:val="16"/>
              </w:rPr>
              <w:t>محرك رئيسي</w:t>
            </w:r>
          </w:p>
        </w:tc>
        <w:tc>
          <w:tcPr>
            <w:tcW w:type="dxa" w:w="3504"/>
            <w:shd w:fill="D9E2F3"/>
            <w:vAlign w:val="center"/>
          </w:tcPr>
          <w:p>
            <w:pPr>
              <w:jc w:val="center"/>
            </w:pPr>
            <w:r/>
            <w:r>
              <w:rPr>
                <w:rFonts w:ascii="Noto Sans Arabic" w:hAnsi="Noto Sans Arabic" w:eastAsia="Noto Sans Arabic"/>
                <w:b/>
                <w:sz w:val="16"/>
              </w:rPr>
              <w:t>إشارة تحذير</w:t>
            </w:r>
          </w:p>
        </w:tc>
        <w:trPr>
          <w:tblHeader/>
        </w:trPr>
      </w:tr>
      <w:tr>
        <w:tc>
          <w:tcPr>
            <w:tcW w:type="dxa" w:w="3504"/>
          </w:tcPr>
          <w:p>
            <w:pPr>
              <w:jc w:val="center"/>
            </w:pPr>
            <w:r/>
            <w:r>
              <w:rPr>
                <w:rFonts w:ascii="Noto Sans Arabic" w:hAnsi="Noto Sans Arabic" w:eastAsia="Noto Sans Arabic"/>
                <w:sz w:val="16"/>
              </w:rPr>
              <w:t>Handset rise</w:t>
            </w:r>
          </w:p>
        </w:tc>
        <w:tc>
          <w:tcPr>
            <w:tcW w:type="dxa" w:w="3504"/>
          </w:tcPr>
          <w:p>
            <w:pPr>
              <w:jc w:val="center"/>
            </w:pPr>
            <w:r/>
            <w:r>
              <w:rPr>
                <w:rFonts w:ascii="Noto Sans Arabic" w:hAnsi="Noto Sans Arabic" w:eastAsia="Noto Sans Arabic"/>
                <w:sz w:val="16"/>
              </w:rPr>
              <w:t>Scale + GSM + distribution</w:t>
            </w:r>
          </w:p>
        </w:tc>
        <w:tc>
          <w:tcPr>
            <w:tcW w:type="dxa" w:w="3504"/>
          </w:tcPr>
          <w:p>
            <w:pPr>
              <w:jc w:val="center"/>
            </w:pPr>
            <w:r/>
            <w:r>
              <w:rPr>
                <w:rFonts w:ascii="Noto Sans Arabic" w:hAnsi="Noto Sans Arabic" w:eastAsia="Noto Sans Arabic"/>
                <w:sz w:val="16"/>
              </w:rPr>
              <w:t>قلة ضغط ecosystem</w:t>
            </w:r>
          </w:p>
        </w:tc>
      </w:tr>
      <w:tr>
        <w:tc>
          <w:tcPr>
            <w:tcW w:type="dxa" w:w="3504"/>
          </w:tcPr>
          <w:p>
            <w:pPr>
              <w:jc w:val="center"/>
            </w:pPr>
            <w:r/>
            <w:r>
              <w:rPr>
                <w:rFonts w:ascii="Noto Sans Arabic" w:hAnsi="Noto Sans Arabic" w:eastAsia="Noto Sans Arabic"/>
                <w:sz w:val="16"/>
              </w:rPr>
              <w:t>Smartphone disruption</w:t>
            </w:r>
          </w:p>
        </w:tc>
        <w:tc>
          <w:tcPr>
            <w:tcW w:type="dxa" w:w="3504"/>
          </w:tcPr>
          <w:p>
            <w:pPr>
              <w:jc w:val="center"/>
            </w:pPr>
            <w:r/>
            <w:r>
              <w:rPr>
                <w:rFonts w:ascii="Noto Sans Arabic" w:hAnsi="Noto Sans Arabic" w:eastAsia="Noto Sans Arabic"/>
                <w:sz w:val="16"/>
              </w:rPr>
              <w:t>iOS/Android ecosystems</w:t>
            </w:r>
          </w:p>
        </w:tc>
        <w:tc>
          <w:tcPr>
            <w:tcW w:type="dxa" w:w="3504"/>
          </w:tcPr>
          <w:p>
            <w:pPr>
              <w:jc w:val="center"/>
            </w:pPr>
            <w:r/>
            <w:r>
              <w:rPr>
                <w:rFonts w:ascii="Noto Sans Arabic" w:hAnsi="Noto Sans Arabic" w:eastAsia="Noto Sans Arabic"/>
                <w:sz w:val="16"/>
              </w:rPr>
              <w:t>Platform gap</w:t>
            </w:r>
          </w:p>
        </w:tc>
      </w:tr>
      <w:tr>
        <w:tc>
          <w:tcPr>
            <w:tcW w:type="dxa" w:w="3504"/>
          </w:tcPr>
          <w:p>
            <w:pPr>
              <w:jc w:val="center"/>
            </w:pPr>
            <w:r/>
            <w:r>
              <w:rPr>
                <w:rFonts w:ascii="Noto Sans Arabic" w:hAnsi="Noto Sans Arabic" w:eastAsia="Noto Sans Arabic"/>
                <w:sz w:val="16"/>
              </w:rPr>
              <w:t>Pivot</w:t>
            </w:r>
          </w:p>
        </w:tc>
        <w:tc>
          <w:tcPr>
            <w:tcW w:type="dxa" w:w="3504"/>
          </w:tcPr>
          <w:p>
            <w:pPr>
              <w:jc w:val="center"/>
            </w:pPr>
            <w:r/>
            <w:r>
              <w:rPr>
                <w:rFonts w:ascii="Noto Sans Arabic" w:hAnsi="Noto Sans Arabic" w:eastAsia="Noto Sans Arabic"/>
                <w:sz w:val="16"/>
              </w:rPr>
              <w:t>Network/IP/optical capabilities</w:t>
            </w:r>
          </w:p>
        </w:tc>
        <w:tc>
          <w:tcPr>
            <w:tcW w:type="dxa" w:w="3504"/>
          </w:tcPr>
          <w:p>
            <w:pPr>
              <w:jc w:val="center"/>
            </w:pPr>
            <w:r/>
            <w:r>
              <w:rPr>
                <w:rFonts w:ascii="Noto Sans Arabic" w:hAnsi="Noto Sans Arabic" w:eastAsia="Noto Sans Arabic"/>
                <w:sz w:val="16"/>
              </w:rPr>
              <w:t>Integration risk</w:t>
            </w:r>
          </w:p>
        </w:tc>
      </w:tr>
      <w:tr>
        <w:tc>
          <w:tcPr>
            <w:tcW w:type="dxa" w:w="3504"/>
          </w:tcPr>
          <w:p>
            <w:pPr>
              <w:jc w:val="center"/>
            </w:pPr>
            <w:r/>
            <w:r>
              <w:rPr>
                <w:rFonts w:ascii="Noto Sans Arabic" w:hAnsi="Noto Sans Arabic" w:eastAsia="Noto Sans Arabic"/>
                <w:sz w:val="16"/>
              </w:rPr>
              <w:t>AI era</w:t>
            </w:r>
          </w:p>
        </w:tc>
        <w:tc>
          <w:tcPr>
            <w:tcW w:type="dxa" w:w="3504"/>
          </w:tcPr>
          <w:p>
            <w:pPr>
              <w:jc w:val="center"/>
            </w:pPr>
            <w:r/>
            <w:r>
              <w:rPr>
                <w:rFonts w:ascii="Noto Sans Arabic" w:hAnsi="Noto Sans Arabic" w:eastAsia="Noto Sans Arabic"/>
                <w:sz w:val="16"/>
              </w:rPr>
              <w:t>AI &amp; Cloud + optical/IP</w:t>
            </w:r>
          </w:p>
        </w:tc>
        <w:tc>
          <w:tcPr>
            <w:tcW w:type="dxa" w:w="3504"/>
          </w:tcPr>
          <w:p>
            <w:pPr>
              <w:jc w:val="center"/>
            </w:pPr>
            <w:r/>
            <w:r>
              <w:rPr>
                <w:rFonts w:ascii="Noto Sans Arabic" w:hAnsi="Noto Sans Arabic" w:eastAsia="Noto Sans Arabic"/>
                <w:sz w:val="16"/>
              </w:rPr>
              <w:t>Order conversion + competition</w:t>
            </w:r>
          </w:p>
        </w:tc>
      </w:tr>
    </w:tbl>
    <w:p>
      <w:pPr>
        <w:spacing w:after="20"/>
      </w:pPr>
    </w:p>
    <w:p>
      <w:pPr>
        <w:spacing w:before="40" w:after="60"/>
        <w:jc w:val="left"/>
        <w:bidi w:val="0"/>
      </w:pPr>
      <w:r>
        <w:rPr>
          <w:rFonts w:ascii="Aptos" w:hAnsi="Aptos"/>
          <w:i/>
          <w:sz w:val="14"/>
        </w:rPr>
        <w:t>Sources / provenance: M2 pp43-48 + N14-N16</w:t>
      </w:r>
    </w:p>
    <w:p>
      <w:pPr>
        <w:spacing w:before="20" w:after="0"/>
        <w:jc w:val="center"/>
      </w:pPr>
      <w:r>
        <w:rPr>
          <w:rFonts w:ascii="Noto Sans Arabic" w:hAnsi="Noto Sans Arabic" w:eastAsia="Noto Sans Arabic"/>
          <w:b/>
          <w:sz w:val="16"/>
        </w:rPr>
        <w:t>GSOS-APP-003 | صفحة 46 / 50 | 2026-09-05</w:t>
      </w:r>
    </w:p>
    <w:p>
      <w:r>
        <w:br w:type="page"/>
      </w:r>
    </w:p>
    <w:p>
      <w:pPr>
        <w:spacing w:before="0" w:after="20" w:line="247" w:lineRule="auto"/>
        <w:jc w:val="right"/>
        <w:bidi w:val="1"/>
      </w:pPr>
      <w:r>
        <w:rPr>
          <w:rFonts w:ascii="Noto Sans Arabic" w:hAnsi="Noto Sans Arabic" w:eastAsia="Noto Sans Arabic"/>
          <w:b/>
          <w:sz w:val="29"/>
        </w:rPr>
        <w:t>الصفحة 47 - إصلاح التجربة الأولى</w:t>
      </w:r>
    </w:p>
    <w:p>
      <w:pPr>
        <w:spacing w:before="0" w:after="80" w:line="247" w:lineRule="auto"/>
        <w:jc w:val="right"/>
        <w:bidi w:val="1"/>
      </w:pPr>
      <w:r>
        <w:rPr>
          <w:rFonts w:ascii="Noto Sans Arabic" w:hAnsi="Noto Sans Arabic" w:eastAsia="Noto Sans Arabic"/>
          <w:b/>
          <w:sz w:val="20"/>
        </w:rPr>
        <w:t>ما الذي يجب أن يتغير في GSOS؟</w:t>
      </w:r>
    </w:p>
    <w:p>
      <w:pPr>
        <w:spacing w:before="0" w:after="80" w:line="247" w:lineRule="auto"/>
        <w:jc w:val="right"/>
        <w:bidi w:val="1"/>
      </w:pPr>
      <w:r>
        <w:rPr>
          <w:rFonts w:ascii="Noto Sans Arabic" w:hAnsi="Noto Sans Arabic" w:eastAsia="Noto Sans Arabic"/>
          <w:b w:val="0"/>
          <w:sz w:val="19"/>
        </w:rPr>
        <w:t>التقييم السابق خلص إلى أن المختبر صالح كـprotocol demonstrator وليس دليلاً عاماً على forecasting. التغيير الحقيقي الآن هو الانتقال من synthetic reveal صغير إلى retrospective blind hindcasting ثم real temporal holdout لاحقاً، مع baselines وcalibration وindependent replication.</w:t>
      </w:r>
    </w:p>
    <w:p>
      <w:pPr>
        <w:pStyle w:val="ListBullet"/>
        <w:spacing w:after="24" w:line="240" w:lineRule="auto"/>
        <w:ind w:left="288" w:right="144"/>
        <w:jc w:val="right"/>
        <w:bidi w:val="1"/>
      </w:pPr>
      <w:r>
        <w:rPr>
          <w:rFonts w:ascii="Noto Sans Arabic" w:hAnsi="Noto Sans Arabic" w:eastAsia="Noto Sans Arabic"/>
          <w:sz w:val="18"/>
        </w:rPr>
        <w:t>1. Blind historical cutoffs</w:t>
      </w:r>
    </w:p>
    <w:p>
      <w:pPr>
        <w:pStyle w:val="ListBullet"/>
        <w:spacing w:after="24" w:line="240" w:lineRule="auto"/>
        <w:ind w:left="288" w:right="144"/>
        <w:jc w:val="right"/>
        <w:bidi w:val="1"/>
      </w:pPr>
      <w:r>
        <w:rPr>
          <w:rFonts w:ascii="Noto Sans Arabic" w:hAnsi="Noto Sans Arabic" w:eastAsia="Noto Sans Arabic"/>
          <w:sz w:val="18"/>
        </w:rPr>
        <w:t>2. Baseline competition</w:t>
      </w:r>
    </w:p>
    <w:p>
      <w:pPr>
        <w:pStyle w:val="ListBullet"/>
        <w:spacing w:after="24" w:line="240" w:lineRule="auto"/>
        <w:ind w:left="288" w:right="144"/>
        <w:jc w:val="right"/>
        <w:bidi w:val="1"/>
      </w:pPr>
      <w:r>
        <w:rPr>
          <w:rFonts w:ascii="Noto Sans Arabic" w:hAnsi="Noto Sans Arabic" w:eastAsia="Noto Sans Arabic"/>
          <w:sz w:val="18"/>
        </w:rPr>
        <w:t>3. Larger sample</w:t>
      </w:r>
    </w:p>
    <w:p>
      <w:pPr>
        <w:pStyle w:val="ListBullet"/>
        <w:spacing w:after="24" w:line="240" w:lineRule="auto"/>
        <w:ind w:left="288" w:right="144"/>
        <w:jc w:val="right"/>
        <w:bidi w:val="1"/>
      </w:pPr>
      <w:r>
        <w:rPr>
          <w:rFonts w:ascii="Noto Sans Arabic" w:hAnsi="Noto Sans Arabic" w:eastAsia="Noto Sans Arabic"/>
          <w:sz w:val="18"/>
        </w:rPr>
        <w:t>4. Calibration</w:t>
      </w:r>
    </w:p>
    <w:p>
      <w:pPr>
        <w:pStyle w:val="ListBullet"/>
        <w:spacing w:after="24" w:line="240" w:lineRule="auto"/>
        <w:ind w:left="288" w:right="144"/>
        <w:jc w:val="right"/>
        <w:bidi w:val="1"/>
      </w:pPr>
      <w:r>
        <w:rPr>
          <w:rFonts w:ascii="Noto Sans Arabic" w:hAnsi="Noto Sans Arabic" w:eastAsia="Noto Sans Arabic"/>
          <w:sz w:val="18"/>
        </w:rPr>
        <w:t>5. Independent replication</w:t>
      </w:r>
    </w:p>
    <w:p>
      <w:pPr>
        <w:pStyle w:val="ListBullet"/>
        <w:spacing w:after="24" w:line="240" w:lineRule="auto"/>
        <w:ind w:left="288" w:right="144"/>
        <w:jc w:val="right"/>
        <w:bidi w:val="1"/>
      </w:pPr>
      <w:r>
        <w:rPr>
          <w:rFonts w:ascii="Noto Sans Arabic" w:hAnsi="Noto Sans Arabic" w:eastAsia="Noto Sans Arabic"/>
          <w:sz w:val="18"/>
        </w:rPr>
        <w:t>6. Real future holdout لاحقاً</w:t>
      </w:r>
    </w:p>
    <w:p>
      <w:pPr>
        <w:spacing w:before="40" w:after="60"/>
        <w:jc w:val="left"/>
        <w:bidi w:val="0"/>
      </w:pPr>
      <w:r>
        <w:rPr>
          <w:rFonts w:ascii="Aptos" w:hAnsi="Aptos"/>
          <w:i/>
          <w:sz w:val="14"/>
        </w:rPr>
        <w:t>Sources / provenance: M1 + GSOS-APP-002 + present analysis</w:t>
      </w:r>
    </w:p>
    <w:p>
      <w:pPr>
        <w:spacing w:before="20" w:after="0"/>
        <w:jc w:val="center"/>
      </w:pPr>
      <w:r>
        <w:rPr>
          <w:rFonts w:ascii="Noto Sans Arabic" w:hAnsi="Noto Sans Arabic" w:eastAsia="Noto Sans Arabic"/>
          <w:b/>
          <w:sz w:val="16"/>
        </w:rPr>
        <w:t>GSOS-APP-003 | صفحة 47 / 50 | 2026-09-05</w:t>
      </w:r>
    </w:p>
    <w:p>
      <w:r>
        <w:br w:type="page"/>
      </w:r>
    </w:p>
    <w:p>
      <w:pPr>
        <w:spacing w:before="0" w:after="20" w:line="247" w:lineRule="auto"/>
        <w:jc w:val="right"/>
        <w:bidi w:val="1"/>
      </w:pPr>
      <w:r>
        <w:rPr>
          <w:rFonts w:ascii="Noto Sans Arabic" w:hAnsi="Noto Sans Arabic" w:eastAsia="Noto Sans Arabic"/>
          <w:b/>
          <w:sz w:val="29"/>
        </w:rPr>
        <w:t>الصفحة 48 - بروتوكول الاختبار الجديد</w:t>
      </w:r>
    </w:p>
    <w:p>
      <w:pPr>
        <w:spacing w:before="0" w:after="80" w:line="247" w:lineRule="auto"/>
        <w:jc w:val="right"/>
        <w:bidi w:val="1"/>
      </w:pPr>
      <w:r>
        <w:rPr>
          <w:rFonts w:ascii="Noto Sans Arabic" w:hAnsi="Noto Sans Arabic" w:eastAsia="Noto Sans Arabic"/>
          <w:b/>
          <w:sz w:val="20"/>
        </w:rPr>
        <w:t>Near/Far + Space/Domain + blind evaluation</w:t>
      </w:r>
    </w:p>
    <w:p>
      <w:pPr>
        <w:spacing w:before="0" w:after="80" w:line="247" w:lineRule="auto"/>
        <w:jc w:val="right"/>
        <w:bidi w:val="1"/>
      </w:pPr>
      <w:r>
        <w:rPr>
          <w:rFonts w:ascii="Noto Sans Arabic" w:hAnsi="Noto Sans Arabic" w:eastAsia="Noto Sans Arabic"/>
          <w:b w:val="0"/>
          <w:sz w:val="19"/>
        </w:rPr>
        <w:t>يُعرّف المختبر الجديد أربع خلايا: زمن قريب/بعيد × نطاق قريب/بعيد. في Nokia يمكن تفسير 'المكان' بشكل آمن على مستوى region أو customer/technology domain، لا على مستوى مواقع بنية حرجة. كل prediction يسجل cutoff، evidence refs، direction، probability، falsification rule، ثم يختم قبل reveal.</w:t>
      </w:r>
    </w:p>
    <w:tbl>
      <w:tblPr>
        <w:tblStyle w:val="TableGrid"/>
        <w:tblW w:type="auto" w:w="0"/>
        <w:jc w:val="center"/>
        <w:tblLook w:firstColumn="1" w:firstRow="1" w:lastColumn="0" w:lastRow="0" w:noHBand="0" w:noVBand="1" w:val="04A0"/>
      </w:tblPr>
      <w:tblGrid>
        <w:gridCol w:w="3504"/>
        <w:gridCol w:w="3504"/>
        <w:gridCol w:w="3504"/>
      </w:tblGrid>
      <w:tr>
        <w:tc>
          <w:tcPr>
            <w:tcW w:type="dxa" w:w="3504"/>
            <w:shd w:fill="D9E2F3"/>
            <w:vAlign w:val="center"/>
          </w:tcPr>
          <w:p>
            <w:pPr>
              <w:jc w:val="center"/>
            </w:pPr>
            <w:r/>
            <w:r>
              <w:rPr>
                <w:rFonts w:ascii="Noto Sans Arabic" w:hAnsi="Noto Sans Arabic" w:eastAsia="Noto Sans Arabic"/>
                <w:b/>
                <w:sz w:val="16"/>
              </w:rPr>
              <w:t>البعد</w:t>
            </w:r>
          </w:p>
        </w:tc>
        <w:tc>
          <w:tcPr>
            <w:tcW w:type="dxa" w:w="3504"/>
            <w:shd w:fill="D9E2F3"/>
            <w:vAlign w:val="center"/>
          </w:tcPr>
          <w:p>
            <w:pPr>
              <w:jc w:val="center"/>
            </w:pPr>
            <w:r/>
            <w:r>
              <w:rPr>
                <w:rFonts w:ascii="Noto Sans Arabic" w:hAnsi="Noto Sans Arabic" w:eastAsia="Noto Sans Arabic"/>
                <w:b/>
                <w:sz w:val="16"/>
              </w:rPr>
              <w:t>Near</w:t>
            </w:r>
          </w:p>
        </w:tc>
        <w:tc>
          <w:tcPr>
            <w:tcW w:type="dxa" w:w="3504"/>
            <w:shd w:fill="D9E2F3"/>
            <w:vAlign w:val="center"/>
          </w:tcPr>
          <w:p>
            <w:pPr>
              <w:jc w:val="center"/>
            </w:pPr>
            <w:r/>
            <w:r>
              <w:rPr>
                <w:rFonts w:ascii="Noto Sans Arabic" w:hAnsi="Noto Sans Arabic" w:eastAsia="Noto Sans Arabic"/>
                <w:b/>
                <w:sz w:val="16"/>
              </w:rPr>
              <w:t>Far</w:t>
            </w:r>
          </w:p>
        </w:tc>
        <w:trPr>
          <w:tblHeader/>
        </w:trPr>
      </w:tr>
      <w:tr>
        <w:tc>
          <w:tcPr>
            <w:tcW w:type="dxa" w:w="3504"/>
          </w:tcPr>
          <w:p>
            <w:pPr>
              <w:jc w:val="center"/>
            </w:pPr>
            <w:r/>
            <w:r>
              <w:rPr>
                <w:rFonts w:ascii="Noto Sans Arabic" w:hAnsi="Noto Sans Arabic" w:eastAsia="Noto Sans Arabic"/>
                <w:sz w:val="16"/>
              </w:rPr>
              <w:t>Time</w:t>
            </w:r>
          </w:p>
        </w:tc>
        <w:tc>
          <w:tcPr>
            <w:tcW w:type="dxa" w:w="3504"/>
          </w:tcPr>
          <w:p>
            <w:pPr>
              <w:jc w:val="center"/>
            </w:pPr>
            <w:r/>
            <w:r>
              <w:rPr>
                <w:rFonts w:ascii="Noto Sans Arabic" w:hAnsi="Noto Sans Arabic" w:eastAsia="Noto Sans Arabic"/>
                <w:sz w:val="16"/>
              </w:rPr>
              <w:t>quarter / next release</w:t>
            </w:r>
          </w:p>
        </w:tc>
        <w:tc>
          <w:tcPr>
            <w:tcW w:type="dxa" w:w="3504"/>
          </w:tcPr>
          <w:p>
            <w:pPr>
              <w:jc w:val="center"/>
            </w:pPr>
            <w:r/>
            <w:r>
              <w:rPr>
                <w:rFonts w:ascii="Noto Sans Arabic" w:hAnsi="Noto Sans Arabic" w:eastAsia="Noto Sans Arabic"/>
                <w:sz w:val="16"/>
              </w:rPr>
              <w:t>12-24 months</w:t>
            </w:r>
          </w:p>
        </w:tc>
      </w:tr>
      <w:tr>
        <w:tc>
          <w:tcPr>
            <w:tcW w:type="dxa" w:w="3504"/>
          </w:tcPr>
          <w:p>
            <w:pPr>
              <w:jc w:val="center"/>
            </w:pPr>
            <w:r/>
            <w:r>
              <w:rPr>
                <w:rFonts w:ascii="Noto Sans Arabic" w:hAnsi="Noto Sans Arabic" w:eastAsia="Noto Sans Arabic"/>
                <w:sz w:val="16"/>
              </w:rPr>
              <w:t>Space/domain</w:t>
            </w:r>
          </w:p>
        </w:tc>
        <w:tc>
          <w:tcPr>
            <w:tcW w:type="dxa" w:w="3504"/>
          </w:tcPr>
          <w:p>
            <w:pPr>
              <w:jc w:val="center"/>
            </w:pPr>
            <w:r/>
            <w:r>
              <w:rPr>
                <w:rFonts w:ascii="Noto Sans Arabic" w:hAnsi="Noto Sans Arabic" w:eastAsia="Noto Sans Arabic"/>
                <w:sz w:val="16"/>
              </w:rPr>
              <w:t>region أو business domain قريب</w:t>
            </w:r>
          </w:p>
        </w:tc>
        <w:tc>
          <w:tcPr>
            <w:tcW w:type="dxa" w:w="3504"/>
          </w:tcPr>
          <w:p>
            <w:pPr>
              <w:jc w:val="center"/>
            </w:pPr>
            <w:r/>
            <w:r>
              <w:rPr>
                <w:rFonts w:ascii="Noto Sans Arabic" w:hAnsi="Noto Sans Arabic" w:eastAsia="Noto Sans Arabic"/>
                <w:sz w:val="16"/>
              </w:rPr>
              <w:t>region/domain بعيد</w:t>
            </w:r>
          </w:p>
        </w:tc>
      </w:tr>
      <w:tr>
        <w:tc>
          <w:tcPr>
            <w:tcW w:type="dxa" w:w="3504"/>
          </w:tcPr>
          <w:p>
            <w:pPr>
              <w:jc w:val="center"/>
            </w:pPr>
            <w:r/>
            <w:r>
              <w:rPr>
                <w:rFonts w:ascii="Noto Sans Arabic" w:hAnsi="Noto Sans Arabic" w:eastAsia="Noto Sans Arabic"/>
                <w:sz w:val="16"/>
              </w:rPr>
              <w:t>Output</w:t>
            </w:r>
          </w:p>
        </w:tc>
        <w:tc>
          <w:tcPr>
            <w:tcW w:type="dxa" w:w="3504"/>
          </w:tcPr>
          <w:p>
            <w:pPr>
              <w:jc w:val="center"/>
            </w:pPr>
            <w:r/>
            <w:r>
              <w:rPr>
                <w:rFonts w:ascii="Noto Sans Arabic" w:hAnsi="Noto Sans Arabic" w:eastAsia="Noto Sans Arabic"/>
                <w:sz w:val="16"/>
              </w:rPr>
              <w:t>direction + probability</w:t>
            </w:r>
          </w:p>
        </w:tc>
        <w:tc>
          <w:tcPr>
            <w:tcW w:type="dxa" w:w="3504"/>
          </w:tcPr>
          <w:p>
            <w:pPr>
              <w:jc w:val="center"/>
            </w:pPr>
            <w:r/>
            <w:r>
              <w:rPr>
                <w:rFonts w:ascii="Noto Sans Arabic" w:hAnsi="Noto Sans Arabic" w:eastAsia="Noto Sans Arabic"/>
                <w:sz w:val="16"/>
              </w:rPr>
              <w:t>scenario + probability</w:t>
            </w:r>
          </w:p>
        </w:tc>
      </w:tr>
      <w:tr>
        <w:tc>
          <w:tcPr>
            <w:tcW w:type="dxa" w:w="3504"/>
          </w:tcPr>
          <w:p>
            <w:pPr>
              <w:jc w:val="center"/>
            </w:pPr>
            <w:r/>
            <w:r>
              <w:rPr>
                <w:rFonts w:ascii="Noto Sans Arabic" w:hAnsi="Noto Sans Arabic" w:eastAsia="Noto Sans Arabic"/>
                <w:sz w:val="16"/>
              </w:rPr>
              <w:t>Evaluation</w:t>
            </w:r>
          </w:p>
        </w:tc>
        <w:tc>
          <w:tcPr>
            <w:tcW w:type="dxa" w:w="3504"/>
          </w:tcPr>
          <w:p>
            <w:pPr>
              <w:jc w:val="center"/>
            </w:pPr>
            <w:r/>
            <w:r>
              <w:rPr>
                <w:rFonts w:ascii="Noto Sans Arabic" w:hAnsi="Noto Sans Arabic" w:eastAsia="Noto Sans Arabic"/>
                <w:sz w:val="16"/>
              </w:rPr>
              <w:t>Brier + directional hit</w:t>
            </w:r>
          </w:p>
        </w:tc>
        <w:tc>
          <w:tcPr>
            <w:tcW w:type="dxa" w:w="3504"/>
          </w:tcPr>
          <w:p>
            <w:pPr>
              <w:jc w:val="center"/>
            </w:pPr>
            <w:r/>
            <w:r>
              <w:rPr>
                <w:rFonts w:ascii="Noto Sans Arabic" w:hAnsi="Noto Sans Arabic" w:eastAsia="Noto Sans Arabic"/>
                <w:sz w:val="16"/>
              </w:rPr>
              <w:t>Brier + calibration + lead time</w:t>
            </w:r>
          </w:p>
        </w:tc>
      </w:tr>
    </w:tbl>
    <w:p>
      <w:pPr>
        <w:spacing w:after="20"/>
      </w:pPr>
    </w:p>
    <w:p>
      <w:pPr>
        <w:spacing w:before="40" w:after="60"/>
        <w:jc w:val="left"/>
        <w:bidi w:val="0"/>
      </w:pPr>
      <w:r>
        <w:rPr>
          <w:rFonts w:ascii="Aptos" w:hAnsi="Aptos"/>
          <w:i/>
          <w:sz w:val="14"/>
        </w:rPr>
        <w:t>Sources / provenance: GSOS protocol design + M1/M2</w:t>
      </w:r>
    </w:p>
    <w:p>
      <w:pPr>
        <w:spacing w:before="20" w:after="0"/>
        <w:jc w:val="center"/>
      </w:pPr>
      <w:r>
        <w:rPr>
          <w:rFonts w:ascii="Noto Sans Arabic" w:hAnsi="Noto Sans Arabic" w:eastAsia="Noto Sans Arabic"/>
          <w:b/>
          <w:sz w:val="16"/>
        </w:rPr>
        <w:t>GSOS-APP-003 | صفحة 48 / 50 | 2026-09-05</w:t>
      </w:r>
    </w:p>
    <w:p>
      <w:r>
        <w:br w:type="page"/>
      </w:r>
    </w:p>
    <w:p>
      <w:pPr>
        <w:spacing w:before="0" w:after="20" w:line="247" w:lineRule="auto"/>
        <w:jc w:val="right"/>
        <w:bidi w:val="1"/>
      </w:pPr>
      <w:r>
        <w:rPr>
          <w:rFonts w:ascii="Noto Sans Arabic" w:hAnsi="Noto Sans Arabic" w:eastAsia="Noto Sans Arabic"/>
          <w:b/>
          <w:sz w:val="29"/>
        </w:rPr>
        <w:t>الصفحة 49 - فرضيات إعادة الاختبار</w:t>
      </w:r>
    </w:p>
    <w:p>
      <w:pPr>
        <w:spacing w:before="0" w:after="80" w:line="247" w:lineRule="auto"/>
        <w:jc w:val="right"/>
        <w:bidi w:val="1"/>
      </w:pPr>
      <w:r>
        <w:rPr>
          <w:rFonts w:ascii="Noto Sans Arabic" w:hAnsi="Noto Sans Arabic" w:eastAsia="Noto Sans Arabic"/>
          <w:b/>
          <w:sz w:val="20"/>
        </w:rPr>
        <w:t>ما يجب أن يتنبأ به GSOS - دون تسريب النتيجة</w:t>
      </w:r>
    </w:p>
    <w:p>
      <w:pPr>
        <w:spacing w:before="0" w:after="80" w:line="247" w:lineRule="auto"/>
        <w:jc w:val="right"/>
        <w:bidi w:val="1"/>
      </w:pPr>
      <w:r>
        <w:rPr>
          <w:rFonts w:ascii="Noto Sans Arabic" w:hAnsi="Noto Sans Arabic" w:eastAsia="Noto Sans Arabic"/>
          <w:b w:val="0"/>
          <w:sz w:val="19"/>
        </w:rPr>
        <w:t>لإثبات القدرة يجب أن تُنشأ predictions آلياً أو أمام لجنة مستقلة عند كل cutoff تاريخي، ثم يحجب المستقبل المعروف عن المُتنبئ. أمثلة cutoffs المقترحة: 2007، 2010، 2011، 2013، 2014، 2016، 2020، 2024، 2025. لا نسجل هنا نتائجها المستقبلية في خانة prediction قبل فتحها؛ هذه الصفحة تعرّف experiment فقط.</w:t>
      </w:r>
    </w:p>
    <w:p>
      <w:pPr>
        <w:pStyle w:val="ListBullet"/>
        <w:spacing w:after="24" w:line="240" w:lineRule="auto"/>
        <w:ind w:left="288" w:right="144"/>
        <w:jc w:val="right"/>
        <w:bidi w:val="1"/>
      </w:pPr>
      <w:r>
        <w:rPr>
          <w:rFonts w:ascii="Noto Sans Arabic" w:hAnsi="Noto Sans Arabic" w:eastAsia="Noto Sans Arabic"/>
          <w:sz w:val="18"/>
        </w:rPr>
        <w:t>كل cutoff ينتج prediction packet مستقل.</w:t>
      </w:r>
    </w:p>
    <w:p>
      <w:pPr>
        <w:pStyle w:val="ListBullet"/>
        <w:spacing w:after="24" w:line="240" w:lineRule="auto"/>
        <w:ind w:left="288" w:right="144"/>
        <w:jc w:val="right"/>
        <w:bidi w:val="1"/>
      </w:pPr>
      <w:r>
        <w:rPr>
          <w:rFonts w:ascii="Noto Sans Arabic" w:hAnsi="Noto Sans Arabic" w:eastAsia="Noto Sans Arabic"/>
          <w:sz w:val="18"/>
        </w:rPr>
        <w:t>الـreveal يحوي الحدث اللاحق فقط.</w:t>
      </w:r>
    </w:p>
    <w:p>
      <w:pPr>
        <w:pStyle w:val="ListBullet"/>
        <w:spacing w:after="24" w:line="240" w:lineRule="auto"/>
        <w:ind w:left="288" w:right="144"/>
        <w:jc w:val="right"/>
        <w:bidi w:val="1"/>
      </w:pPr>
      <w:r>
        <w:rPr>
          <w:rFonts w:ascii="Noto Sans Arabic" w:hAnsi="Noto Sans Arabic" w:eastAsia="Noto Sans Arabic"/>
          <w:sz w:val="18"/>
        </w:rPr>
        <w:t>لا يجوز تعديل prediction بعد cutoff.</w:t>
      </w:r>
    </w:p>
    <w:p>
      <w:pPr>
        <w:pStyle w:val="ListBullet"/>
        <w:spacing w:after="24" w:line="240" w:lineRule="auto"/>
        <w:ind w:left="288" w:right="144"/>
        <w:jc w:val="right"/>
        <w:bidi w:val="1"/>
      </w:pPr>
      <w:r>
        <w:rPr>
          <w:rFonts w:ascii="Noto Sans Arabic" w:hAnsi="Noto Sans Arabic" w:eastAsia="Noto Sans Arabic"/>
          <w:sz w:val="18"/>
        </w:rPr>
        <w:t>يجب مقارنة GSOS بثلاث baselines على الأقل: persistence، trend، rule-based.</w:t>
      </w:r>
    </w:p>
    <w:p>
      <w:pPr>
        <w:spacing w:before="40" w:after="60"/>
        <w:jc w:val="left"/>
        <w:bidi w:val="0"/>
      </w:pPr>
      <w:r>
        <w:rPr>
          <w:rFonts w:ascii="Aptos" w:hAnsi="Aptos"/>
          <w:i/>
          <w:sz w:val="14"/>
        </w:rPr>
        <w:t>Sources / provenance: N14-N17 + protocol principles</w:t>
      </w:r>
    </w:p>
    <w:p>
      <w:pPr>
        <w:spacing w:before="20" w:after="0"/>
        <w:jc w:val="center"/>
      </w:pPr>
      <w:r>
        <w:rPr>
          <w:rFonts w:ascii="Noto Sans Arabic" w:hAnsi="Noto Sans Arabic" w:eastAsia="Noto Sans Arabic"/>
          <w:b/>
          <w:sz w:val="16"/>
        </w:rPr>
        <w:t>GSOS-APP-003 | صفحة 49 / 50 | 2026-09-05</w:t>
      </w:r>
    </w:p>
    <w:p>
      <w:r>
        <w:br w:type="page"/>
      </w:r>
    </w:p>
    <w:p>
      <w:pPr>
        <w:spacing w:before="0" w:after="20" w:line="247" w:lineRule="auto"/>
        <w:jc w:val="right"/>
        <w:bidi w:val="1"/>
      </w:pPr>
      <w:r>
        <w:rPr>
          <w:rFonts w:ascii="Noto Sans Arabic" w:hAnsi="Noto Sans Arabic" w:eastAsia="Noto Sans Arabic"/>
          <w:b/>
          <w:sz w:val="29"/>
        </w:rPr>
        <w:t>الصفحة 50 - الحكم والخاتمة</w:t>
      </w:r>
    </w:p>
    <w:p>
      <w:pPr>
        <w:spacing w:before="0" w:after="80" w:line="247" w:lineRule="auto"/>
        <w:jc w:val="right"/>
        <w:bidi w:val="1"/>
      </w:pPr>
      <w:r>
        <w:rPr>
          <w:rFonts w:ascii="Noto Sans Arabic" w:hAnsi="Noto Sans Arabic" w:eastAsia="Noto Sans Arabic"/>
          <w:b/>
          <w:sz w:val="20"/>
        </w:rPr>
        <w:t>إغلاق الدراسة وفتح الطريق للمرحلة التالية</w:t>
      </w:r>
    </w:p>
    <w:p>
      <w:pPr>
        <w:spacing w:before="0" w:after="80" w:line="247" w:lineRule="auto"/>
        <w:jc w:val="right"/>
        <w:bidi w:val="1"/>
      </w:pPr>
      <w:r>
        <w:rPr>
          <w:rFonts w:ascii="Noto Sans Arabic" w:hAnsi="Noto Sans Arabic" w:eastAsia="Noto Sans Arabic"/>
          <w:b w:val="0"/>
          <w:sz w:val="19"/>
        </w:rPr>
        <w:t>Nokia حالة اختبار ممتازة لأن تاريخها يجمع بين التنويع، الارتفاع الكبير، اضطراب المنصة، إعادة التموضع، الاستحواذات الكبرى، ثم الانتقال إلى optical/IP وAI-native networking. لكن القيمة العلمية للمختبر لا تأتي من قصة Nokia وحدها. القيمة تأتي عندما يحول GSOS القصة إلى سجل قابل لإعادة البناء: مصدر موثق، cutoff ثابت، تحليل منضبط، prediction قابل للتكذيب، reveal مستقل، scoring، mutation testing، ثم replication.</w:t>
      </w:r>
    </w:p>
    <w:p>
      <w:pPr>
        <w:pStyle w:val="ListBullet"/>
        <w:spacing w:after="24" w:line="240" w:lineRule="auto"/>
        <w:ind w:left="288" w:right="144"/>
        <w:jc w:val="right"/>
        <w:bidi w:val="1"/>
      </w:pPr>
      <w:r>
        <w:rPr>
          <w:rFonts w:ascii="Noto Sans Arabic" w:hAnsi="Noto Sans Arabic" w:eastAsia="Noto Sans Arabic"/>
          <w:sz w:val="18"/>
        </w:rPr>
        <w:t>النتيجة الحالية: Nokia تثبت غنى البيئة الاختبارية، لا تفوق GSOS تلقائياً.</w:t>
      </w:r>
    </w:p>
    <w:p>
      <w:pPr>
        <w:pStyle w:val="ListBullet"/>
        <w:spacing w:after="24" w:line="240" w:lineRule="auto"/>
        <w:ind w:left="288" w:right="144"/>
        <w:jc w:val="right"/>
        <w:bidi w:val="1"/>
      </w:pPr>
      <w:r>
        <w:rPr>
          <w:rFonts w:ascii="Noto Sans Arabic" w:hAnsi="Noto Sans Arabic" w:eastAsia="Noto Sans Arabic"/>
          <w:sz w:val="18"/>
        </w:rPr>
        <w:t>الهدف التالي: إثبات أن المنهج يعيد قراءة التحول قبل reveal لا بعده.</w:t>
      </w:r>
    </w:p>
    <w:p>
      <w:pPr>
        <w:pStyle w:val="ListBullet"/>
        <w:spacing w:after="24" w:line="240" w:lineRule="auto"/>
        <w:ind w:left="288" w:right="144"/>
        <w:jc w:val="right"/>
        <w:bidi w:val="1"/>
      </w:pPr>
      <w:r>
        <w:rPr>
          <w:rFonts w:ascii="Noto Sans Arabic" w:hAnsi="Noto Sans Arabic" w:eastAsia="Noto Sans Arabic"/>
          <w:sz w:val="18"/>
        </w:rPr>
        <w:t>شرط الترقية: real temporal holdout + baselines + calibration + independent replication.</w:t>
      </w:r>
    </w:p>
    <w:p>
      <w:pPr>
        <w:pStyle w:val="ListBullet"/>
        <w:spacing w:after="24" w:line="240" w:lineRule="auto"/>
        <w:ind w:left="288" w:right="144"/>
        <w:jc w:val="right"/>
        <w:bidi w:val="1"/>
      </w:pPr>
      <w:r>
        <w:rPr>
          <w:rFonts w:ascii="Noto Sans Arabic" w:hAnsi="Noto Sans Arabic" w:eastAsia="Noto Sans Arabic"/>
          <w:sz w:val="18"/>
        </w:rPr>
        <w:t>حالة هذا الملحق: CLOSED FOR RESEARCH DOCUMENTATION / OPEN FOR NEXT EXPERIMENT.</w:t>
      </w:r>
    </w:p>
    <w:p>
      <w:pPr>
        <w:spacing w:before="40" w:after="60"/>
        <w:jc w:val="left"/>
        <w:bidi w:val="0"/>
      </w:pPr>
      <w:r>
        <w:rPr>
          <w:rFonts w:ascii="Aptos" w:hAnsi="Aptos"/>
          <w:i/>
          <w:sz w:val="14"/>
        </w:rPr>
        <w:t>Sources / provenance: M1 + M2 + N1-N16</w:t>
      </w:r>
    </w:p>
    <w:p>
      <w:pPr>
        <w:spacing w:before="20" w:after="0"/>
        <w:jc w:val="center"/>
      </w:pPr>
      <w:r>
        <w:rPr>
          <w:rFonts w:ascii="Noto Sans Arabic" w:hAnsi="Noto Sans Arabic" w:eastAsia="Noto Sans Arabic"/>
          <w:b/>
          <w:sz w:val="16"/>
        </w:rPr>
        <w:t>GSOS-APP-003 | صفحة 50 / 50 | 2026-09-05</w:t>
      </w:r>
    </w:p>
    <w:sectPr w:rsidR="00FC693F" w:rsidRPr="0006063C" w:rsidSect="00034616">
      <w:pgSz w:w="12240" w:h="15840"/>
      <w:pgMar w:top="792"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Arabic" w:hAnsi="Noto Sans Arabic" w:eastAsia="Noto Sans Arab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Arabic" w:hAnsi="Noto Sans Arabic" w:eastAsia="Noto Sans Arabic"/>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Arabic" w:hAnsi="Noto Sans Arabic" w:eastAsia="Noto Sans Arabic"/>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Arabic" w:hAnsi="Noto Sans Arabic" w:eastAsia="Noto Sans Arabic"/>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GSOS-APP-003 - Nokia Deep Academic Study</dc:title>
  <dc:subject>Deep academic review of Nokia and enhanced GSOS laboratory protocol</dc:subject>
  <dc:creator>GSOS Research Program</dc:creator>
  <cp:keywords>GSOS, Nokia, provenance, prediction, audit, hadith methodology analogy</cp:keywords>
  <dc:description>generated by python-docx</dc:description>
  <cp:lastModifiedBy/>
  <cp:revision>1</cp:revision>
  <dcterms:created xsi:type="dcterms:W3CDTF">2013-12-23T23:15:00Z</dcterms:created>
  <dcterms:modified xsi:type="dcterms:W3CDTF">2013-12-23T23:15:00Z</dcterms:modified>
  <cp:category/>
</cp:coreProperties>
</file>