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Méthodologie d’analyse de la structure par maturité</w:t>
        <w:br/>
      </w:r>
      <w:r>
        <w:rPr>
          <w:b/>
        </w:rPr>
        <w:t>des futures dividendes</w:t>
      </w:r>
    </w:p>
    <w:p>
      <w:pPr>
        <w:jc w:val="center"/>
      </w:pPr>
      <w:r>
        <w:rPr>
          <w:i/>
        </w:rPr>
        <w:t>Relation dynamique avec le future d’indice de référence — estimation sur données minute</w:t>
      </w:r>
    </w:p>
    <w:p>
      <w:r>
        <w:t>Objet : construire, à partir de six futures dividendes de maturités différentes, une mesure dynamique de leur sensibilité au future d’indice, puis tester si la structure observée est compatible avec une loi de type 1 − exp(−λτ).</w:t>
      </w:r>
    </w:p>
    <w:p>
      <w:pPr>
        <w:pStyle w:val="Heading1"/>
      </w:pPr>
      <w:r>
        <w:t>1. Cadre du modèle</w:t>
      </w:r>
    </w:p>
    <w:p>
      <w:r>
        <w:t>Pour une maturité résiduelle τ, on suppose qu’un future dividende D_t(τ) peut être représenté localement par :</w:t>
      </w:r>
    </w:p>
    <w:p>
      <w:pPr>
        <w:jc w:val="center"/>
      </w:pPr>
      <w:r>
        <w:rPr>
          <w:b/>
        </w:rPr>
        <w:t>D_t(τ) = α_t(τ) + b(τ) S_t</w:t>
      </w:r>
    </w:p>
    <w:p>
      <w:r>
        <w:t>où S_t est le future de l’indice de référence et où la sensibilité structurelle au sous-jacent suit :</w:t>
      </w:r>
    </w:p>
    <w:p>
      <w:pPr>
        <w:jc w:val="center"/>
      </w:pPr>
      <w:r>
        <w:rPr>
          <w:b/>
        </w:rPr>
        <w:t>b(τ) = 1 − exp(−λ τ),  avec λ &gt; 0</w:t>
      </w:r>
    </w:p>
    <w:p>
      <w:r>
        <w:t>Cette spécification impose une sensibilité faible pour les échéances très proches et croissante avec la maturité, avec convergence asymptotique vers 1. Le paramètre λ gouverne la vitesse à laquelle cette convergence s’effectue : plus λ est élevé, plus la sensibilité au sous-jacent augmente rapidement avec la maturité.</w:t>
      </w:r>
    </w:p>
    <w:p>
      <w:pPr>
        <w:pStyle w:val="Heading1"/>
      </w:pPr>
      <w:r>
        <w:t>2. Ce qui est estimé dans les données minute</w:t>
      </w:r>
    </w:p>
    <w:p>
      <w:r>
        <w:t>La première étape consiste à travailler en rendements minute, ce qui évite une régression directe de séries de prix potentiellement non stationnaires. Pour chaque future dividende j, on estime sur une fenêtre glissante de 20 séances :</w:t>
      </w:r>
    </w:p>
    <w:p>
      <w:pPr>
        <w:jc w:val="center"/>
      </w:pPr>
      <w:r>
        <w:rPr>
          <w:b/>
        </w:rPr>
        <w:t>r^D_{j,t} = a_{j,t} + β^ret_{j,t} r^S_t + ε_{j,t}</w:t>
      </w:r>
    </w:p>
    <w:p>
      <w:r>
        <w:t>À chaque minute t, on obtient donc six valeurs β^ret_{j,t}, une par maturité. Avec une constante dans la régression, le coefficient OLS est équivalent à Cov(r^D, r^S) / Var(r^S) sur la fenêtre.</w:t>
      </w:r>
    </w:p>
    <w:p>
      <w:pPr>
        <w:pStyle w:val="Heading1"/>
      </w:pPr>
      <w:r>
        <w:t>3. Point essentiel : relier le bêta de rendement au modèle en niveau</w:t>
      </w:r>
    </w:p>
    <w:p>
      <w:r>
        <w:t>Le coefficient β^ret estimé sur les rendements n’est pas directement égal à b(τ) = 1 − exp(−λτ). En différenciant localement le modèle en niveau, et en traitant la variation de α_t comme une composante du résidu sur un pas minute :</w:t>
      </w:r>
    </w:p>
    <w:p>
      <w:pPr>
        <w:jc w:val="center"/>
      </w:pPr>
      <w:r>
        <w:rPr>
          <w:b/>
        </w:rPr>
        <w:t>ΔD_t(τ) ≈ b(τ) ΔS_t</w:t>
      </w:r>
    </w:p>
    <w:p>
      <w:r>
        <w:t>En divisant par les niveaux de prix :</w:t>
      </w:r>
    </w:p>
    <w:p>
      <w:pPr>
        <w:jc w:val="center"/>
      </w:pPr>
      <w:r>
        <w:rPr>
          <w:b/>
        </w:rPr>
        <w:t>r^D_t(τ) ≈ b(τ) · [S_t / D_t(τ)] · r^S_t</w:t>
      </w:r>
    </w:p>
    <w:p>
      <w:r>
        <w:t>On en déduit la transformation :</w:t>
      </w:r>
    </w:p>
    <w:p>
      <w:pPr>
        <w:jc w:val="center"/>
      </w:pPr>
      <w:r>
        <w:rPr>
          <w:b/>
        </w:rPr>
        <w:t>b̃_t(τ) = β^ret_t(τ) · D_t(τ) / S_t</w:t>
      </w:r>
    </w:p>
    <w:p>
      <w:r>
        <w:t>La quantité b̃_t(τ) est alors la mesure à comparer à la forme structurelle 1 − exp(−λτ). Cette correspondance reste une approximation : si les variations de α_t sont corrélées aux variations de l’indice, le bêta de rendement absorbe également cette composante.</w:t>
      </w:r>
    </w:p>
    <w:p>
      <w:pPr>
        <w:pStyle w:val="Heading1"/>
      </w:pPr>
      <w:r>
        <w:t>4. Analyse transversale des six maturités à chaque date</w:t>
      </w:r>
    </w:p>
    <w:p>
      <w:r>
        <w:t>À une minute donnée t, les six contrats fournissent six points (τ_{j,t}, b̃_{j,t}). Au lieu de simplement comparer les six bêtas entre eux, on ajuste la forme du modèle à toute la coupe transversale.</w:t>
      </w:r>
    </w:p>
    <w:p>
      <w:r>
        <w:t>Modèle structurel restreint :</w:t>
      </w:r>
    </w:p>
    <w:p>
      <w:pPr>
        <w:jc w:val="center"/>
      </w:pPr>
      <w:r>
        <w:rPr>
          <w:b/>
        </w:rPr>
        <w:t>b̃_{j,t} = 1 − exp(−λ_t τ_{j,t}) + u_{j,t}</w:t>
      </w:r>
    </w:p>
    <w:p>
      <w:r>
        <w:t>À chaque t, λ_t est obtenu par moindres carrés non linéaires, c’est-à-dire en minimisant la somme des carrés des écarts entre les six sensibilités observées et la courbe théorique.</w:t>
      </w:r>
    </w:p>
    <w:p>
      <w:pPr>
        <w:jc w:val="center"/>
      </w:pPr>
      <w:r>
        <w:rPr>
          <w:b/>
        </w:rPr>
        <w:t>λ̂_t = arg min_{λ&gt;0} Σ_j [b̃_{j,t} − (1 − exp(−λ τ_{j,t}))]²</w:t>
      </w:r>
    </w:p>
    <w:p>
      <w:r>
        <w:t>Le résultat est une nouvelle série temporelle λ̂_t. Elle résume, en un seul paramètre, la forme de la structure par maturité à chaque instant.</w:t>
      </w:r>
    </w:p>
    <w:p>
      <w:pPr>
        <w:pStyle w:val="Heading1"/>
      </w:pPr>
      <w:r>
        <w:t>5. Version diagnostique avec amplitude libre</w:t>
      </w:r>
    </w:p>
    <w:p>
      <w:r>
        <w:t>Il est utile de ne pas imposer immédiatement que la limite de long terme soit exactement 1. On peut estimer en parallèle :</w:t>
      </w:r>
    </w:p>
    <w:p>
      <w:pPr>
        <w:jc w:val="center"/>
      </w:pPr>
      <w:r>
        <w:rPr>
          <w:b/>
        </w:rPr>
        <w:t>b̃_{j,t} = A_t [1 − exp(−λ_t τ_{j,t})] + u_{j,t}</w:t>
      </w:r>
    </w:p>
    <w:p>
      <w:r>
        <w:t>Le paramètre A_t sert de test de spécification. Si A_t reste proche de 1 et que l’erreur d’ajustement est faible, la restriction structurelle est cohérente avec les données. Si A_t s’écarte durablement de 1, il faut envisager soit une normalisation différente, soit une forme fonctionnelle plus souple, soit une dynamique de α_t corrélée au sous-jacent.</w:t>
      </w:r>
    </w:p>
    <w:p>
      <w:pPr>
        <w:pStyle w:val="Heading1"/>
      </w:pPr>
      <w:r>
        <w:t>6. Définition correcte de la maturité</w:t>
      </w:r>
    </w:p>
    <w:p>
      <w:r>
        <w:t>La variable τ ne doit pas être seulement l’étiquette 0, 1, …, 5. Elle doit être le temps résiduel réel jusqu’à l’échéance, exprimé en années. Ainsi, pour un même contrat, τ diminue continûment au cours du temps. Un contrat arrivé à échéance (τ ≤ 0) doit être exclu de l’ajustement.</w:t>
      </w:r>
    </w:p>
    <w:p>
      <w:pPr>
        <w:pStyle w:val="Heading1"/>
      </w:pPr>
      <w:r>
        <w:t>7. Pipeline opérationnel</w:t>
      </w:r>
    </w:p>
    <w:p>
      <w:pPr>
        <w:ind w:left="216"/>
      </w:pPr>
      <w:r>
        <w:rPr>
          <w:b/>
        </w:rPr>
        <w:t xml:space="preserve">1. </w:t>
      </w:r>
      <w:r>
        <w:t>Aligner les prix minute du future d’indice et des six futures dividendes sur une grille temporelle cohérente.</w:t>
      </w:r>
    </w:p>
    <w:p>
      <w:pPr>
        <w:ind w:left="216"/>
      </w:pPr>
      <w:r>
        <w:rPr>
          <w:b/>
        </w:rPr>
        <w:t xml:space="preserve">2. </w:t>
      </w:r>
      <w:r>
        <w:t>Calculer les rendements minute, de préférence logarithmiques.</w:t>
      </w:r>
    </w:p>
    <w:p>
      <w:pPr>
        <w:ind w:left="216"/>
      </w:pPr>
      <w:r>
        <w:rPr>
          <w:b/>
        </w:rPr>
        <w:t xml:space="preserve">3. </w:t>
      </w:r>
      <w:r>
        <w:t>Pour chaque maturité, calculer le bêta glissant sur les 20 dernières séances.</w:t>
      </w:r>
    </w:p>
    <w:p>
      <w:pPr>
        <w:ind w:left="216"/>
      </w:pPr>
      <w:r>
        <w:rPr>
          <w:b/>
        </w:rPr>
        <w:t xml:space="preserve">4. </w:t>
      </w:r>
      <w:r>
        <w:t>Transformer chaque bêta de rendement en b̃ = β^ret × D/S.</w:t>
      </w:r>
    </w:p>
    <w:p>
      <w:pPr>
        <w:ind w:left="216"/>
      </w:pPr>
      <w:r>
        <w:rPr>
          <w:b/>
        </w:rPr>
        <w:t xml:space="preserve">5. </w:t>
      </w:r>
      <w:r>
        <w:t>Calculer le temps résiduel τ de chaque contrat à chaque minute.</w:t>
      </w:r>
    </w:p>
    <w:p>
      <w:pPr>
        <w:ind w:left="216"/>
      </w:pPr>
      <w:r>
        <w:rPr>
          <w:b/>
        </w:rPr>
        <w:t xml:space="preserve">6. </w:t>
      </w:r>
      <w:r>
        <w:t>À chaque minute, ajuster la courbe restreinte 1 − exp(−λτ).</w:t>
      </w:r>
    </w:p>
    <w:p>
      <w:pPr>
        <w:ind w:left="216"/>
      </w:pPr>
      <w:r>
        <w:rPr>
          <w:b/>
        </w:rPr>
        <w:t xml:space="preserve">7. </w:t>
      </w:r>
      <w:r>
        <w:t>En parallèle, ajuster A[1 − exp(−λτ)] comme diagnostic de spécification.</w:t>
      </w:r>
    </w:p>
    <w:p>
      <w:pPr>
        <w:ind w:left="216"/>
      </w:pPr>
      <w:r>
        <w:rPr>
          <w:b/>
        </w:rPr>
        <w:t xml:space="preserve">8. </w:t>
      </w:r>
      <w:r>
        <w:t>Stocker λ̂_t, Â_t, l’erreur RMSE de la coupe transversale et le nombre de maturités disponibles.</w:t>
      </w:r>
    </w:p>
    <w:p>
      <w:pPr>
        <w:pStyle w:val="Heading1"/>
      </w:pPr>
      <w:r>
        <w:t>8. Diagnostics statistiques indispensables</w:t>
      </w:r>
    </w:p>
    <w:p>
      <w:r>
        <w:t>Les données minute présentent typiquement de l’hétéroscédasticité, de l’autocorrélation, des effets de microstructure et parfois des cotations asynchrones. Ces phénomènes n’empêchent pas d’utiliser le coefficient OLS comme mesure de sensibilité, mais les erreurs standards OLS classiques sont généralement trop optimistes.</w:t>
      </w:r>
    </w:p>
    <w:p>
      <w:pPr>
        <w:pStyle w:val="ListBullet"/>
      </w:pPr>
      <w:r>
        <w:t>Pour l’inférence sur les bêtas, utiliser des erreurs standards HAC/Newey–West sur des points de contrôle ou des sous-échantillons.</w:t>
      </w:r>
    </w:p>
    <w:p>
      <w:pPr>
        <w:pStyle w:val="ListBullet"/>
      </w:pPr>
      <w:r>
        <w:t>Vérifier la synchronisation des timestamps et éviter de forward-filler de longues périodes sans transaction.</w:t>
      </w:r>
    </w:p>
    <w:p>
      <w:pPr>
        <w:pStyle w:val="ListBullet"/>
      </w:pPr>
      <w:r>
        <w:t>Comparer plusieurs fréquences, par exemple 1 minute, 5 minutes et 15 minutes, pour tester la robustesse aux effets de microstructure.</w:t>
      </w:r>
    </w:p>
    <w:p>
      <w:pPr>
        <w:pStyle w:val="ListBullet"/>
      </w:pPr>
      <w:r>
        <w:t>Surveiller la variance du rendement de l’indice dans chaque fenêtre : si elle devient très faible, le bêta est mal identifié.</w:t>
      </w:r>
    </w:p>
    <w:p>
      <w:pPr>
        <w:pStyle w:val="ListBullet"/>
      </w:pPr>
      <w:r>
        <w:t>Avec seulement six maturités, éviter de multiplier les paramètres transversaux ; le modèle à un paramètre λ est précisément intéressant pour cette raison.</w:t>
      </w:r>
    </w:p>
    <w:p>
      <w:pPr>
        <w:pStyle w:val="Heading1"/>
        <w:pageBreakBefore/>
      </w:pPr>
      <w:r>
        <w:t>9. Interprétation économique des sorties</w:t>
      </w:r>
    </w:p>
    <w:tbl>
      <w:tblPr>
        <w:tblStyle w:val="TableGrid"/>
        <w:tblW w:type="auto" w:w="0"/>
        <w:tblLook w:firstColumn="1" w:firstRow="1" w:lastColumn="0" w:lastRow="0" w:noHBand="0" w:noVBand="1" w:val="04A0"/>
      </w:tblPr>
      <w:tblGrid>
        <w:gridCol w:w="3312"/>
        <w:gridCol w:w="3312"/>
        <w:gridCol w:w="3312"/>
      </w:tblGrid>
      <w:tr>
        <w:tc>
          <w:tcPr>
            <w:tcW w:type="dxa" w:w="3312"/>
          </w:tcPr>
          <w:p>
            <w:r>
              <w:t>Sortie</w:t>
            </w:r>
          </w:p>
        </w:tc>
        <w:tc>
          <w:tcPr>
            <w:tcW w:type="dxa" w:w="3312"/>
          </w:tcPr>
          <w:p>
            <w:r>
              <w:t>Interprétation</w:t>
            </w:r>
          </w:p>
        </w:tc>
        <w:tc>
          <w:tcPr>
            <w:tcW w:type="dxa" w:w="3312"/>
          </w:tcPr>
          <w:p>
            <w:r>
              <w:t>Signal à surveiller</w:t>
            </w:r>
          </w:p>
        </w:tc>
      </w:tr>
      <w:tr>
        <w:tc>
          <w:tcPr>
            <w:tcW w:type="dxa" w:w="3312"/>
          </w:tcPr>
          <w:p>
            <w:r>
              <w:t>β^ret_{j,t}</w:t>
            </w:r>
          </w:p>
        </w:tc>
        <w:tc>
          <w:tcPr>
            <w:tcW w:type="dxa" w:w="3312"/>
          </w:tcPr>
          <w:p>
            <w:r>
              <w:t>Sensibilité empirique du rendement du future dividende au rendement du future d’indice.</w:t>
            </w:r>
          </w:p>
        </w:tc>
        <w:tc>
          <w:tcPr>
            <w:tcW w:type="dxa" w:w="3312"/>
          </w:tcPr>
          <w:p>
            <w:r>
              <w:t>Instabilité, changement de signe, forte dispersion.</w:t>
            </w:r>
          </w:p>
        </w:tc>
      </w:tr>
      <w:tr>
        <w:tc>
          <w:tcPr>
            <w:tcW w:type="dxa" w:w="3312"/>
          </w:tcPr>
          <w:p>
            <w:r>
              <w:t>b̃_{j,t}</w:t>
            </w:r>
          </w:p>
        </w:tc>
        <w:tc>
          <w:tcPr>
            <w:tcW w:type="dxa" w:w="3312"/>
          </w:tcPr>
          <w:p>
            <w:r>
              <w:t>Sensibilité remise dans l’échelle du modèle en niveau.</w:t>
            </w:r>
          </w:p>
        </w:tc>
        <w:tc>
          <w:tcPr>
            <w:tcW w:type="dxa" w:w="3312"/>
          </w:tcPr>
          <w:p>
            <w:r>
              <w:t>Valeurs incohérentes avec la forme monotone attendue.</w:t>
            </w:r>
          </w:p>
        </w:tc>
      </w:tr>
      <w:tr>
        <w:tc>
          <w:tcPr>
            <w:tcW w:type="dxa" w:w="3312"/>
          </w:tcPr>
          <w:p>
            <w:r>
              <w:t>λ̂_t</w:t>
            </w:r>
          </w:p>
        </w:tc>
        <w:tc>
          <w:tcPr>
            <w:tcW w:type="dxa" w:w="3312"/>
          </w:tcPr>
          <w:p>
            <w:r>
              <w:t>Vitesse de montée de la sensibilité avec la maturité.</w:t>
            </w:r>
          </w:p>
        </w:tc>
        <w:tc>
          <w:tcPr>
            <w:tcW w:type="dxa" w:w="3312"/>
          </w:tcPr>
          <w:p>
            <w:r>
              <w:t>Ruptures de régime ou forte volatilité.</w:t>
            </w:r>
          </w:p>
        </w:tc>
      </w:tr>
      <w:tr>
        <w:tc>
          <w:tcPr>
            <w:tcW w:type="dxa" w:w="3312"/>
          </w:tcPr>
          <w:p>
            <w:r>
              <w:t>Â_t</w:t>
            </w:r>
          </w:p>
        </w:tc>
        <w:tc>
          <w:tcPr>
            <w:tcW w:type="dxa" w:w="3312"/>
          </w:tcPr>
          <w:p>
            <w:r>
              <w:t>Amplitude de long terme dans le modèle non restreint.</w:t>
            </w:r>
          </w:p>
        </w:tc>
        <w:tc>
          <w:tcPr>
            <w:tcW w:type="dxa" w:w="3312"/>
          </w:tcPr>
          <w:p>
            <w:r>
              <w:t>Écart durable à 1.</w:t>
            </w:r>
          </w:p>
        </w:tc>
      </w:tr>
      <w:tr>
        <w:tc>
          <w:tcPr>
            <w:tcW w:type="dxa" w:w="3312"/>
          </w:tcPr>
          <w:p>
            <w:r>
              <w:t>RMSE_t</w:t>
            </w:r>
          </w:p>
        </w:tc>
        <w:tc>
          <w:tcPr>
            <w:tcW w:type="dxa" w:w="3312"/>
          </w:tcPr>
          <w:p>
            <w:r>
              <w:t>Qualité de l’ajustement transversal des six maturités.</w:t>
            </w:r>
          </w:p>
        </w:tc>
        <w:tc>
          <w:tcPr>
            <w:tcW w:type="dxa" w:w="3312"/>
          </w:tcPr>
          <w:p>
            <w:r>
              <w:t>Hausse brutale = modèle moins adapté à cet instant.</w:t>
            </w:r>
          </w:p>
        </w:tc>
      </w:tr>
    </w:tbl>
    <w:p>
      <w:pPr>
        <w:pStyle w:val="Heading1"/>
      </w:pPr>
      <w:r>
        <w:t>10. Limites et extension naturelle</w:t>
      </w:r>
    </w:p>
    <w:p>
      <w:r>
        <w:t>L’estimation minute par minute de λ_t produit des observations très dépendantes dans le temps, car deux fenêtres successives de 20 jours se recouvrent presque entièrement. Il ne faut donc pas interpréter chaque variation minute de λ̂_t comme une information indépendante. Pour l’analyse de régime, il peut être préférable de lisser λ̂_t ou de l’échantillonner à une fréquence plus faible.</w:t>
      </w:r>
    </w:p>
    <w:p>
      <w:r>
        <w:t>Une extension plus structurelle consiste à estimer directement l’ensemble du modèle sur toutes les maturités et toutes les dates dans un cadre panel/non linéaire, au lieu de procéder en deux étapes. La méthode en deux étapes reste toutefois particulièrement transparente pour diagnostiquer la relation entre les six contrats et le sous-jacent.</w:t>
      </w:r>
    </w:p>
    <w:p>
      <w:pPr>
        <w:pStyle w:val="Heading1"/>
      </w:pPr>
      <w:r>
        <w:t>11. Fichier de code associé</w:t>
      </w:r>
    </w:p>
    <w:p>
      <w:r>
        <w:t>Le fichier « analyse_dividend_futures.py » fourni séparément implémente : le calcul des rendements, les bêtas glissants, la transformation D/S, le calcul du temps restant à maturité, l’estimation non linéaire de λ_t, la version à amplitude libre A_t, ainsi qu’une fonction optionnelle d’erreur standard HAC.</w:t>
      </w:r>
    </w:p>
    <w:p>
      <w:r>
        <w:t>Le paramètre bars_per_session du script doit être adapté aux horaires réels du marché et à la grille de données utilisée. La valeur présente dans l’exemple du script est explicitement illustrative et ne doit pas être reprise sans vérification.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Méthodologie — futures dividendes / structure par maturité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