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选择原则页：完整参考文献与对应说明</w:t>
      </w:r>
    </w:p>
    <w:p>
      <w:r>
        <w:t>对应PPT：amino_acid_methods_with_selection_principles.pptx，第2页。</w:t>
        <w:br/>
        <w:t>文献编号沿用原参考文献表：[11]、[25]、[26]，不重新编号。</w:t>
      </w:r>
    </w:p>
    <w:p>
      <w:pPr>
        <w:pStyle w:val="Heading1"/>
      </w:pPr>
      <w:r>
        <w:t>一、图中内容与文献对应</w:t>
      </w:r>
    </w:p>
    <w:p>
      <w:pPr>
        <w:pStyle w:val="Heading2"/>
      </w:pPr>
      <w:r>
        <w:t>01 构型保持</w:t>
      </w:r>
    </w:p>
    <w:p>
      <w:r>
        <w:t>依据：[25–26]；立体化学原则</w:t>
        <w:br/>
        <w:t>非手性标记不另引固定手性来源；水解和衍生过程中是否发生消旋，仍须实验验证。</w:t>
      </w:r>
    </w:p>
    <w:p>
      <w:pPr>
        <w:pStyle w:val="Heading2"/>
      </w:pPr>
      <w:r>
        <w:t>02 UV与CD可检测</w:t>
      </w:r>
    </w:p>
    <w:p>
      <w:r>
        <w:t>依据：[25–26]</w:t>
        <w:br/>
        <w:t>PTH与NBD-F体系已有UV/CD应用；有UV发色团不能保证AQC、OPA或常规PTC具有足够CD响应。</w:t>
      </w:r>
    </w:p>
    <w:p>
      <w:pPr>
        <w:pStyle w:val="Heading2"/>
      </w:pPr>
      <w:r>
        <w:t>无需拆分D/L即可求比例</w:t>
      </w:r>
    </w:p>
    <w:p>
      <w:r>
        <w:t>依据：[26]</w:t>
        <w:br/>
        <w:t>公开摘要明确：不必在柱上拆分光学异构体，可使用g-factor求%D，获得较简单的色谱图。</w:t>
      </w:r>
    </w:p>
    <w:p>
      <w:pPr>
        <w:pStyle w:val="Heading2"/>
      </w:pPr>
      <w:r>
        <w:t>UV含量与CD手性信息互补</w:t>
      </w:r>
    </w:p>
    <w:p>
      <w:r>
        <w:t>依据：[26]</w:t>
        <w:br/>
        <w:t>对文献UV/CD联合检测和比例计算的归纳；需建立校准并排除共洗脱、消旋、衍生效率差等影响。</w:t>
      </w:r>
    </w:p>
    <w:p>
      <w:pPr>
        <w:pStyle w:val="Heading2"/>
      </w:pPr>
      <w:r>
        <w:t>D/L相反CD响应判据</w:t>
      </w:r>
    </w:p>
    <w:p>
      <w:r>
        <w:t>依据：[25]</w:t>
        <w:br/>
        <w:t>标准PTH对映体在约270 nm呈相反CD响应，文中用于肽及肽酸水解液。此结论不能直接移植到常规PTC。</w:t>
      </w:r>
    </w:p>
    <w:p>
      <w:pPr>
        <w:pStyle w:val="Heading2"/>
      </w:pPr>
      <w:r>
        <w:t>PITC候选</w:t>
      </w:r>
    </w:p>
    <w:p>
      <w:r>
        <w:t>依据：本课题已有方法基础；[25]仅支持PTH路线</w:t>
        <w:br/>
        <w:t>本页PITC指已有PTC方法基线；文献PTH涉及后续环化与转化，不等同于常规PTC。</w:t>
      </w:r>
    </w:p>
    <w:p>
      <w:pPr>
        <w:pStyle w:val="Heading2"/>
      </w:pPr>
      <w:r>
        <w:t>AQC候选</w:t>
      </w:r>
    </w:p>
    <w:p>
      <w:r>
        <w:t>依据：[11]支持手性LC应用，不支持CD结论</w:t>
        <w:br/>
        <w:t>作为稳定定量参照的实验思路；该文献使用手性二维LC–MS/MS，不证明AQC已建立HPLC–CD方法。</w:t>
      </w:r>
    </w:p>
    <w:p>
      <w:pPr>
        <w:pStyle w:val="Heading2"/>
      </w:pPr>
      <w:r>
        <w:t>OPA候选</w:t>
      </w:r>
    </w:p>
    <w:p>
      <w:r>
        <w:t>依据：本课题拟实验评价的路线</w:t>
        <w:br/>
        <w:t>本页采用非手性硫醇体系；不以OPA＋手性硫醇的非对映体分离证据替代其CD可行性证据。</w:t>
      </w:r>
    </w:p>
    <w:p>
      <w:pPr>
        <w:pStyle w:val="Heading2"/>
      </w:pPr>
      <w:r>
        <w:t>03 D/L定量关系</w:t>
      </w:r>
    </w:p>
    <w:p>
      <w:r>
        <w:t>依据：[25–26]启发的拟验证项目</w:t>
        <w:br/>
        <w:t>镜像响应、外消旋抵消、CD/UV—ee校准及浓度适用范围，均为下一步实验筛选内容。</w:t>
      </w:r>
    </w:p>
    <w:p>
      <w:pPr>
        <w:pStyle w:val="Heading2"/>
      </w:pPr>
      <w:r>
        <w:t>04 实际样品适用</w:t>
      </w:r>
    </w:p>
    <w:p>
      <w:r>
        <w:t>依据：本课题拟验证项目</w:t>
        <w:br/>
        <w:t>针对Phe、Leu、Lys水解样品验证回收、基质干扰、稳定性、Lys多位点反应和水解/衍生构型保持。</w:t>
      </w:r>
    </w:p>
    <w:p>
      <w:pPr>
        <w:pStyle w:val="Heading1"/>
      </w:pPr>
      <w:r>
        <w:t>二、完整参考文献</w:t>
      </w:r>
    </w:p>
    <w:p>
      <w:pPr>
        <w:pStyle w:val="Heading2"/>
      </w:pPr>
      <w:r>
        <w:t>[11]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作者：Karongo R, Horak J, Lämmerhofer M.</w:t>
        <w:br/>
        <w:t>期刊：Analytical chemistry</w:t>
        <w:br/>
        <w:t>年份：2022</w:t>
        <w:br/>
        <w:t>DOI：10.1021/acs.analchem.2c03042</w:t>
        <w:br/>
        <w:t>DOI链接：https://doi.org/10.1021/acs.analchem.2c03042</w:t>
        <w:br/>
        <w:t>PubMed：https://pubmed.ncbi.nlm.nih.gov/36442145/</w:t>
      </w:r>
    </w:p>
    <w:p>
      <w:r>
        <w:t>核查层级：公开摘要与书目</w:t>
        <w:br/>
        <w:t>证据位置：摘要：AQC、chiral tandem column、two peptide hydrolysate samples及oxytocin段</w:t>
        <w:br/>
        <w:t>具体支持：HPLC：AQC标记结合反相×手性二维LC–MS/MS，用于治疗肽水解液的组成和构型指认。</w:t>
        <w:br/>
        <w:t>样品与适用边界：真实肽水解液：包括oxytocin等治疗肽；这是手性LC证据，不是CD证据。</w:t>
      </w:r>
    </w:p>
    <w:p>
      <w:pPr>
        <w:pStyle w:val="Heading2"/>
      </w:pPr>
      <w:r>
        <w:t>[25] Determination of sequence and absolute configuration of peptide amino acids by HPLC-MS/CD-based detection of liberated N-terminus phenylthiohydantoin amino acids.</w:t>
      </w:r>
    </w:p>
    <w:p>
      <w:r>
        <w:t>作者：Hahn D, Wang W, Choi H, Kang H.</w:t>
        <w:br/>
        <w:t>期刊：Scientific reports</w:t>
        <w:br/>
        <w:t>年份：2022</w:t>
        <w:br/>
        <w:t>DOI：10.1038/s41598-022-14205-x</w:t>
        <w:br/>
        <w:t>DOI链接：https://doi.org/10.1038/s41598-022-14205-x</w:t>
        <w:br/>
        <w:t>PubMed：https://pubmed.ncbi.nlm.nih.gov/35717509/</w:t>
      </w:r>
    </w:p>
    <w:p>
      <w:r>
        <w:t>核查层级：全文＋摘要</w:t>
        <w:br/>
        <w:t>证据位置：已读全文：Introduction、Results and discussion、Methods；摘要末句acid hydrolysates</w:t>
        <w:br/>
        <w:t>具体支持：HPLC–MS/CD：PITC经Edman路线生成PTH-AA，建立对照并用于合成肽和天然缩肽；另分析合成肽酸水解液。</w:t>
        <w:br/>
        <w:t>样品与适用边界：真实肽及肽酸水解液；不可把PTH证据移植到常规PTC衍生物。</w:t>
      </w:r>
    </w:p>
    <w:p>
      <w:pPr>
        <w:pStyle w:val="Heading2"/>
      </w:pPr>
      <w:r>
        <w:t>[26] High-throughput comprehensive analysis of D- and L-amino acids using ultra-high performance liquid chromatography with a circular dichroism (CD) detector and its application to food samples.</w:t>
      </w:r>
    </w:p>
    <w:p>
      <w:r>
        <w:t>作者：Eto S, Yamaguchi M, Bounoshita M, Mizukoshi T, Miyano H.</w:t>
        <w:br/>
        <w:t>期刊：Journal of chromatography. B, Analytical technologies in the biomedical and life sciences</w:t>
        <w:br/>
        <w:t>年份：2011</w:t>
        <w:br/>
        <w:t>DOI：10.1016/j.jchromb.2011.07.025</w:t>
        <w:br/>
        <w:t>DOI链接：https://doi.org/10.1016/j.jchromb.2011.07.025</w:t>
        <w:br/>
        <w:t>PubMed：https://pubmed.ncbi.nlm.nih.gov/21903489/</w:t>
      </w:r>
    </w:p>
    <w:p>
      <w:r>
        <w:t>核查层级：公开摘要与书目</w:t>
        <w:br/>
        <w:t>证据位置：摘要：NBD-F was selected；does not require separation；food samples段</w:t>
        <w:br/>
        <w:t>具体支持：UHPLC–CD：筛选后选择NBD-F，利用g-factor计算%D，无需在柱上拆分同种氨基酸D/L。</w:t>
        <w:br/>
        <w:t>样品与适用边界：真实食品样品：黑醋、发酵乳、酸奶；摘要未证明完整蛋白水解流程。</w:t>
      </w:r>
    </w:p>
    <w:p>
      <w:pPr>
        <w:pStyle w:val="Heading1"/>
      </w:pPr>
      <w:r>
        <w:t>三、引用时需要保留的边界</w:t>
      </w:r>
    </w:p>
    <w:p>
      <w:pPr>
        <w:pStyle w:val="ListBullet"/>
      </w:pPr>
      <w:r>
        <w:t>三个候选不是三个已验证的HPLC–CD方法；本页是选择逻辑与实验计划。</w:t>
      </w:r>
    </w:p>
    <w:p>
      <w:pPr>
        <w:pStyle w:val="ListBullet"/>
      </w:pPr>
      <w:r>
        <w:t>文献[26]的5.5 min分析时间属于其NBD-F/UHPLC体系，不用于预测本课题PITC、AQC或OPA的分析时间。</w:t>
      </w:r>
    </w:p>
    <w:p>
      <w:pPr>
        <w:pStyle w:val="ListBullet"/>
      </w:pPr>
      <w:r>
        <w:t>文献[25]的PTH不能与常规PTC混用；D/L与CD信号正负号也没有可不经对照品验证的普遍对应关系。</w:t>
      </w:r>
    </w:p>
    <w:p>
      <w:pPr>
        <w:pStyle w:val="ListBullet"/>
      </w:pPr>
      <w:r>
        <w:t>非手性衍生化本身不保证无消旋。完全水解后组成与净ee通常不能定位原肽中重复残基的具体构型。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