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0869F" w14:textId="77777777" w:rsidR="008B2F63" w:rsidRDefault="008B2F63">
      <w:pPr>
        <w:pStyle w:val="Body"/>
        <w:bidi/>
        <w:spacing w:after="160" w:line="259" w:lineRule="auto"/>
        <w:jc w:val="right"/>
        <w:rPr>
          <w:rFonts w:ascii="Times New Roman" w:hAnsi="Times New Roman"/>
          <w:b/>
          <w:bCs/>
          <w:sz w:val="28"/>
          <w:szCs w:val="28"/>
          <w:u w:val="single"/>
          <w:rtl/>
          <w:lang w:val="he-IL"/>
        </w:rPr>
      </w:pPr>
    </w:p>
    <w:p w14:paraId="79193B3B" w14:textId="77777777" w:rsidR="008B2F63" w:rsidRDefault="00000000">
      <w:pPr>
        <w:pStyle w:val="Body"/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specification report – network biology research labs</w:t>
      </w:r>
    </w:p>
    <w:p w14:paraId="58022C7C" w14:textId="77777777" w:rsidR="008B2F63" w:rsidRDefault="00000000">
      <w:pPr>
        <w:pStyle w:val="Body"/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Spring 2024</w:t>
      </w:r>
    </w:p>
    <w:p w14:paraId="66717A05" w14:textId="77777777" w:rsidR="008B2F63" w:rsidRDefault="00000000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rtl/>
        </w:rPr>
      </w:pPr>
      <w:r>
        <w:rPr>
          <w:b/>
          <w:bCs/>
          <w:color w:val="FF0000"/>
          <w:u w:color="FF0000"/>
        </w:rPr>
        <w:t>This report should be submitted only after the supervisor(s) approval</w:t>
      </w: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56"/>
      </w:tblGrid>
      <w:tr w:rsidR="008B2F63" w14:paraId="4935F2FE" w14:textId="77777777">
        <w:trPr>
          <w:trHeight w:val="91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FE04" w14:textId="77777777" w:rsidR="008B2F63" w:rsidRDefault="00000000">
            <w:pPr>
              <w:pStyle w:val="Body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Project name:</w:t>
            </w:r>
          </w:p>
          <w:p w14:paraId="32B79E05" w14:textId="5B737BCD" w:rsidR="008B2F63" w:rsidRDefault="00000000">
            <w:pPr>
              <w:pStyle w:val="Body"/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Latent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V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ariable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M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odels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of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</w:t>
            </w:r>
            <w:r w:rsidR="00AA335C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L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earning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B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rain</w:t>
            </w:r>
          </w:p>
        </w:tc>
      </w:tr>
      <w:tr w:rsidR="008B2F63" w14:paraId="4818717E" w14:textId="77777777">
        <w:trPr>
          <w:trHeight w:val="145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D78F" w14:textId="77777777" w:rsidR="008B2F63" w:rsidRDefault="00000000">
            <w:pPr>
              <w:pStyle w:val="Body"/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Supervisor’s name:</w:t>
            </w:r>
          </w:p>
          <w:p w14:paraId="68D56841" w14:textId="77777777" w:rsidR="008B2F63" w:rsidRDefault="00000000">
            <w:pPr>
              <w:pStyle w:val="Body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Kabir Dabholkar</w:t>
            </w:r>
          </w:p>
          <w:p w14:paraId="5E0D879D" w14:textId="77777777" w:rsidR="008B2F63" w:rsidRDefault="00000000">
            <w:pPr>
              <w:pStyle w:val="Body"/>
            </w:pP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Omri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Barak</w:t>
            </w:r>
          </w:p>
        </w:tc>
      </w:tr>
      <w:tr w:rsidR="008B2F63" w14:paraId="2366A58D" w14:textId="77777777">
        <w:trPr>
          <w:trHeight w:val="557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858" w14:textId="77777777" w:rsidR="008B2F63" w:rsidRDefault="00000000">
            <w:pPr>
              <w:pStyle w:val="Body"/>
              <w:spacing w:after="0" w:line="240" w:lineRule="auto"/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Student’s name: 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Arnold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Cheskis</w:t>
            </w:r>
            <w:proofErr w:type="spellEnd"/>
          </w:p>
        </w:tc>
      </w:tr>
      <w:tr w:rsidR="008B2F63" w14:paraId="7365ED5C" w14:textId="77777777">
        <w:trPr>
          <w:trHeight w:val="208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D62F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Main goals of the project: </w:t>
            </w:r>
          </w:p>
          <w:p w14:paraId="2CCA9940" w14:textId="346475F0" w:rsidR="008B2F63" w:rsidRDefault="00000000">
            <w:pPr>
              <w:pStyle w:val="Body"/>
              <w:spacing w:after="0" w:line="240" w:lineRule="auto"/>
            </w:pPr>
            <w:r>
              <w:rPr>
                <w:color w:val="222222"/>
                <w:u w:color="222222"/>
                <w:shd w:val="clear" w:color="auto" w:fill="FFFFFF"/>
              </w:rPr>
              <w:t>Latent variable models (LVMs) are used to capture the dynamics of neural circuits given recordings of signals from the brain. LVMs assume that the dynamical system remains fixed. However</w:t>
            </w:r>
            <w:r w:rsidR="0077468C">
              <w:rPr>
                <w:color w:val="222222"/>
                <w:u w:color="222222"/>
                <w:shd w:val="clear" w:color="auto" w:fill="FFFFFF"/>
              </w:rPr>
              <w:t>,</w:t>
            </w:r>
            <w:r>
              <w:rPr>
                <w:color w:val="222222"/>
                <w:u w:color="222222"/>
                <w:shd w:val="clear" w:color="auto" w:fill="FFFFFF"/>
              </w:rPr>
              <w:t xml:space="preserve"> the brain is continuously evolving with time, i.e</w:t>
            </w:r>
            <w:r w:rsidR="0077468C">
              <w:rPr>
                <w:color w:val="222222"/>
                <w:u w:color="222222"/>
                <w:shd w:val="clear" w:color="auto" w:fill="FFFFFF"/>
              </w:rPr>
              <w:t>.</w:t>
            </w:r>
            <w:r>
              <w:rPr>
                <w:color w:val="222222"/>
                <w:u w:color="222222"/>
                <w:shd w:val="clear" w:color="auto" w:fill="FFFFFF"/>
              </w:rPr>
              <w:t xml:space="preserve"> ’learning’. We study the novel scenario of fitting LVMs to a learning brain using a student-teacher setting. We model the changing brain as a series of models originating from perturbations from a starting model. We evaluate student-teacher similarity using various methods including those mentioned in the paper (K. Dabholkar, O. Barak; 2024).</w:t>
            </w:r>
          </w:p>
        </w:tc>
      </w:tr>
      <w:tr w:rsidR="008B2F63" w14:paraId="0FBAE33F" w14:textId="77777777">
        <w:trPr>
          <w:trHeight w:val="5126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FDCB5" w14:textId="77777777" w:rsidR="008B2F63" w:rsidRDefault="00000000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lastRenderedPageBreak/>
              <w:t>Future Tasks breakdown (try to make is as detailed as possible)</w:t>
            </w:r>
          </w:p>
          <w:p w14:paraId="1AD2D004" w14:textId="77777777" w:rsidR="008B2F63" w:rsidRDefault="008B2F63">
            <w:pPr>
              <w:pStyle w:val="Body"/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  <w:rtl/>
                <w:lang w:val="he-IL"/>
              </w:rPr>
            </w:pPr>
          </w:p>
          <w:p w14:paraId="2482EF23" w14:textId="77777777" w:rsidR="008B2F63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Replicating the student-teacher</w:t>
            </w:r>
            <w:r>
              <w:rPr>
                <w:color w:val="222222"/>
                <w:u w:color="222222"/>
                <w:shd w:val="clear" w:color="auto" w:fill="FFFFFF"/>
              </w:rPr>
              <w:t xml:space="preserve"> setting with HMMs, verifying that Likelihood converges as we increase training trials or increase the learning rate, </w:t>
            </w:r>
            <w:r>
              <w:t>teacher likelihood given the teacher’s emissions test dataset should give the best performance, etc.</w:t>
            </w:r>
          </w:p>
          <w:p w14:paraId="4E1CE8B5" w14:textId="2572E2BB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 xml:space="preserve">Given a teacher model with parameters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1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>, i.e. our “ground truth”, we will create a series of models from it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k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) by perturbing it. Such that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2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1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+ </w:t>
            </w:r>
            <m:oMath>
              <m:r>
                <w:rPr>
                  <w:rFonts w:ascii="Cambria Math" w:hAnsi="Cambria Math"/>
                  <w:color w:val="222222"/>
                  <w:u w:color="222222"/>
                  <w:shd w:val="clear" w:color="auto" w:fill="FFFFFF"/>
                </w:rPr>
                <m:t>ϵ</m:t>
              </m:r>
            </m:oMath>
            <w:r>
              <w:rPr>
                <w:color w:val="222222"/>
                <w:u w:color="222222"/>
                <w:shd w:val="clear" w:color="auto" w:fill="FFFFFF"/>
              </w:rPr>
              <w:t>,</w:t>
            </w:r>
            <w:r w:rsidR="0077468C">
              <w:rPr>
                <w:color w:val="222222"/>
                <w:u w:color="222222"/>
                <w:shd w:val="clear" w:color="auto" w:fill="FFFFFF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</w:rPr>
                    <m:t>3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u w:color="222222"/>
                  <w:shd w:val="clear" w:color="auto" w:fill="FFFFFF"/>
                </w:rPr>
                <m:t>+ ϵ</m:t>
              </m:r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, and so on… Thus,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k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represent how the brain changes as it learns. We want to start by training students with several different curricula,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22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respectively 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</m:oMath>
            <w:r w:rsidR="0077468C">
              <w:rPr>
                <w:color w:val="222222"/>
                <w:sz w:val="23"/>
                <w:szCs w:val="23"/>
              </w:rPr>
              <w:t xml:space="preserve"> and so on...</w:t>
            </w:r>
          </w:p>
          <w:p w14:paraId="46183D2C" w14:textId="77777777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>Repeating each curriculum with many randomly initialized students.</w:t>
            </w:r>
          </w:p>
          <w:p w14:paraId="2AEF9D86" w14:textId="77777777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>Visualize the distribution of students and teachers in a 2D plot using various dimensionality reduction methods.</w:t>
            </w:r>
          </w:p>
          <w:p w14:paraId="457ADDAB" w14:textId="33A644CA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 xml:space="preserve">Evaluating students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  <w:color w:val="222222"/>
                  <w:sz w:val="23"/>
                  <w:szCs w:val="23"/>
                </w:rPr>
                <m:t>and</m:t>
              </m:r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22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on an unseen teacher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u w:color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u w:color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u w:color="222222"/>
                      <w:shd w:val="clear" w:color="auto" w:fill="FFFFFF"/>
                    </w:rPr>
                    <m:t>3</m:t>
                  </m:r>
                </m:sub>
              </m:sSub>
            </m:oMath>
          </w:p>
          <w:p w14:paraId="1596C79C" w14:textId="77777777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 xml:space="preserve">Generalize the training to more complex curricula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12…k</m:t>
                  </m:r>
                </m:sub>
              </m:sSub>
            </m:oMath>
          </w:p>
          <w:p w14:paraId="54746105" w14:textId="77777777" w:rsidR="008B2F63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>We know models with similar log likelihood scores can have hidden differences (Dabholkar, Barak 2024). Can these training procedures reveal them?</w:t>
            </w:r>
          </w:p>
        </w:tc>
      </w:tr>
      <w:tr w:rsidR="008B2F63" w14:paraId="4D674715" w14:textId="77777777">
        <w:trPr>
          <w:trHeight w:val="7937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A6FB" w14:textId="77777777" w:rsidR="008B2F63" w:rsidRDefault="00000000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lastRenderedPageBreak/>
              <w:t>Relevant papers in the project:</w:t>
            </w:r>
          </w:p>
          <w:p w14:paraId="6D8E9C69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13134EF3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Dabholkar, K., &amp; Barak, O. (2024).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When predict can also explain: Few-shot prediction to select better neural </w:t>
            </w:r>
            <w:proofErr w:type="spellStart"/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latents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(arXiv:2405.14425).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arXiv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. </w:t>
            </w:r>
            <w:hyperlink r:id="rId7" w:history="1"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http://arxiv.org/abs/2405.14425</w:t>
              </w:r>
            </w:hyperlink>
          </w:p>
          <w:p w14:paraId="66C87BD8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3443F6D2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Duncker, L., &amp; Sahani, M. (2021). Dynamics on the manifold: Identifying computational dynamical activity from neural population recordings.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Current Opinion in Neurobiology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70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163–170. </w:t>
            </w:r>
            <w:hyperlink r:id="rId8" w:history="1"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https://doi.org/10.1016/j.conb.2021.10.014</w:t>
              </w:r>
            </w:hyperlink>
          </w:p>
          <w:p w14:paraId="2E60989A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4ACB1C45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Mathematical models of learning and what can be learned from them—PubMed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. (n.d.). Retrieved August 4, 2024, from </w:t>
            </w:r>
            <w:hyperlink r:id="rId9" w:history="1"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https://pubmed.ncbi.nlm.nih.gov/37043892/</w:t>
              </w:r>
            </w:hyperlink>
          </w:p>
          <w:p w14:paraId="6D08521D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73431493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Pei, F., Ye, J.,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Zoltowski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D., Wu, A., Chowdhury, R. H., Sohn, H.,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O’Doherty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J. E., Shenoy, K. V., Kaufman, M. T., Churchland, M.,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Jazayeri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M., Miller, L. E., Pillow, J., Park, I. M., Dyer, E. L., &amp;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Pandarinath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C. (2022).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Neural </w:t>
            </w:r>
            <w:proofErr w:type="spellStart"/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Latents</w:t>
            </w:r>
            <w:proofErr w:type="spellEnd"/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Benchmark ’21: Evaluating latent variable models of neural population activity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(arXiv:2109.04463).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arXiv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. </w:t>
            </w:r>
            <w:hyperlink r:id="rId10" w:history="1"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https://doi.org/10.48550/arXiv.2109.04463</w:t>
              </w:r>
            </w:hyperlink>
          </w:p>
          <w:p w14:paraId="6F7936C6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18372F03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hyperlink r:id="rId11" w:history="1"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https://neurallatents.github.io/</w:t>
              </w:r>
            </w:hyperlink>
          </w:p>
          <w:p w14:paraId="18133AEB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34C7FF05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Stanford document about HMM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br/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Maybe:</w:t>
            </w:r>
          </w:p>
          <w:p w14:paraId="778F3EC0" w14:textId="77777777" w:rsidR="008B2F6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Barak O. Recurrent neural networks as versatile tools of neuroscience research. Curr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Opin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Neurobiol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. 2017 </w:t>
            </w:r>
            <w:proofErr w:type="gram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Oct;46:1</w:t>
            </w:r>
            <w:proofErr w:type="gram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-6.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doi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: 10.1016/j.conb.2017.06.003.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Epub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 2017 Jun 29. PMID: 28668365.</w:t>
            </w:r>
          </w:p>
        </w:tc>
      </w:tr>
      <w:tr w:rsidR="008B2F63" w14:paraId="0AE1CDEB" w14:textId="77777777">
        <w:trPr>
          <w:trHeight w:val="1157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C9B9" w14:textId="77777777" w:rsidR="008B2F63" w:rsidRDefault="00000000">
            <w:pPr>
              <w:pStyle w:val="Body"/>
              <w:spacing w:after="0" w:line="240" w:lineRule="auto"/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Working Environment (software/</w:t>
            </w:r>
            <w:proofErr w:type="gramStart"/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hardware..</w:t>
            </w:r>
            <w:proofErr w:type="gramEnd"/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)</w:t>
            </w:r>
          </w:p>
          <w:p w14:paraId="4E2D708F" w14:textId="77777777" w:rsidR="008B2F63" w:rsidRDefault="008B2F63">
            <w:pPr>
              <w:pStyle w:val="Body"/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  <w:rtl/>
                <w:lang w:val="he-IL"/>
              </w:rPr>
            </w:pPr>
          </w:p>
          <w:p w14:paraId="4043FA30" w14:textId="77777777" w:rsidR="008B2F63" w:rsidRDefault="00000000">
            <w:pPr>
              <w:pStyle w:val="Body"/>
              <w:spacing w:after="0" w:line="240" w:lineRule="auto"/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Virtual – using Python</w:t>
            </w:r>
          </w:p>
        </w:tc>
      </w:tr>
      <w:tr w:rsidR="008B2F63" w14:paraId="08551006" w14:textId="77777777">
        <w:trPr>
          <w:trHeight w:val="120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8FB" w14:textId="77777777" w:rsidR="008B2F63" w:rsidRDefault="00000000">
            <w:pPr>
              <w:pStyle w:val="Body"/>
              <w:spacing w:after="0" w:line="240" w:lineRule="auto"/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Specific needs from the lab engineer </w:t>
            </w:r>
          </w:p>
          <w:p w14:paraId="4E1EE909" w14:textId="77777777" w:rsidR="008B2F63" w:rsidRDefault="008B2F63">
            <w:pPr>
              <w:pStyle w:val="Body"/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  <w:rtl/>
                <w:lang w:val="he-IL"/>
              </w:rPr>
            </w:pPr>
          </w:p>
          <w:p w14:paraId="12DECC6C" w14:textId="77777777" w:rsidR="008B2F63" w:rsidRDefault="00000000">
            <w:pPr>
              <w:pStyle w:val="Body"/>
              <w:spacing w:after="0" w:line="240" w:lineRule="auto"/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None (for now).</w:t>
            </w:r>
          </w:p>
        </w:tc>
      </w:tr>
    </w:tbl>
    <w:p w14:paraId="42545FEA" w14:textId="77777777" w:rsidR="008B2F63" w:rsidRDefault="008B2F63">
      <w:pPr>
        <w:pStyle w:val="Body"/>
        <w:widowControl w:val="0"/>
        <w:spacing w:after="160" w:line="240" w:lineRule="auto"/>
      </w:pPr>
    </w:p>
    <w:sectPr w:rsidR="008B2F6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5E58B" w14:textId="77777777" w:rsidR="00CC20DB" w:rsidRDefault="00CC20DB">
      <w:r>
        <w:separator/>
      </w:r>
    </w:p>
  </w:endnote>
  <w:endnote w:type="continuationSeparator" w:id="0">
    <w:p w14:paraId="068E61E0" w14:textId="77777777" w:rsidR="00CC20DB" w:rsidRDefault="00CC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2E6E" w14:textId="77777777" w:rsidR="008B2F63" w:rsidRDefault="008B2F6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6EA79" w14:textId="77777777" w:rsidR="00CC20DB" w:rsidRDefault="00CC20DB">
      <w:r>
        <w:separator/>
      </w:r>
    </w:p>
  </w:footnote>
  <w:footnote w:type="continuationSeparator" w:id="0">
    <w:p w14:paraId="1E53A6DA" w14:textId="77777777" w:rsidR="00CC20DB" w:rsidRDefault="00CC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7FE9" w14:textId="77777777" w:rsidR="008B2F63" w:rsidRDefault="00000000">
    <w:pPr>
      <w:pStyle w:val="Header"/>
      <w:tabs>
        <w:tab w:val="clear" w:pos="9360"/>
        <w:tab w:val="right" w:pos="934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1C36B04" wp14:editId="60ED4D92">
          <wp:simplePos x="0" y="0"/>
          <wp:positionH relativeFrom="page">
            <wp:posOffset>4400550</wp:posOffset>
          </wp:positionH>
          <wp:positionV relativeFrom="page">
            <wp:posOffset>180976</wp:posOffset>
          </wp:positionV>
          <wp:extent cx="2630170" cy="1117456"/>
          <wp:effectExtent l="0" t="0" r="0" b="0"/>
          <wp:wrapNone/>
          <wp:docPr id="1073741826" name="officeArt object" descr="C:\yael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yael\logo.JPG" descr="C:\yael\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0170" cy="11174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AC5C112" wp14:editId="5F8C79A6">
          <wp:extent cx="3067273" cy="581025"/>
          <wp:effectExtent l="0" t="0" r="0" b="0"/>
          <wp:docPr id="1073741825" name="officeArt object" descr="Graphic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Graphic 2" descr="Graphic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67273" cy="581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EB5"/>
    <w:multiLevelType w:val="hybridMultilevel"/>
    <w:tmpl w:val="5B8ED32A"/>
    <w:lvl w:ilvl="0" w:tplc="A672EBCE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C45A3EA6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DCFAFFF0">
      <w:start w:val="1"/>
      <w:numFmt w:val="lowerRoman"/>
      <w:lvlText w:val="%3."/>
      <w:lvlJc w:val="left"/>
      <w:pPr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8AA0C1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A1E65EC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63B0D4DA">
      <w:start w:val="1"/>
      <w:numFmt w:val="lowerRoman"/>
      <w:lvlText w:val="%6."/>
      <w:lvlJc w:val="left"/>
      <w:pPr>
        <w:ind w:left="429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B306D0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C2E0A4D6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43E4F65A">
      <w:start w:val="1"/>
      <w:numFmt w:val="lowerRoman"/>
      <w:lvlText w:val="%9."/>
      <w:lvlJc w:val="left"/>
      <w:pPr>
        <w:ind w:left="645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 w16cid:durableId="765465525">
    <w:abstractNumId w:val="0"/>
  </w:num>
  <w:num w:numId="2" w16cid:durableId="866025034">
    <w:abstractNumId w:val="0"/>
    <w:lvlOverride w:ilvl="0">
      <w:lvl w:ilvl="0" w:tplc="A672EBC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5A3E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FAFFF0">
        <w:start w:val="1"/>
        <w:numFmt w:val="lowerRoman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AA0C1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5EC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0D4DA">
        <w:start w:val="1"/>
        <w:numFmt w:val="lowerRoman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306D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E0A4D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E4F65A">
        <w:start w:val="1"/>
        <w:numFmt w:val="lowerRoman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911088078">
    <w:abstractNumId w:val="0"/>
    <w:lvlOverride w:ilvl="0">
      <w:lvl w:ilvl="0" w:tplc="A672EBC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5A3EA6">
        <w:start w:val="1"/>
        <w:numFmt w:val="low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FAFFF0">
        <w:start w:val="1"/>
        <w:numFmt w:val="lowerRoman"/>
        <w:lvlText w:val="%3."/>
        <w:lvlJc w:val="left"/>
        <w:pPr>
          <w:ind w:left="213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AA0C1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5EC6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0D4DA">
        <w:start w:val="1"/>
        <w:numFmt w:val="lowerRoman"/>
        <w:lvlText w:val="%6."/>
        <w:lvlJc w:val="left"/>
        <w:pPr>
          <w:ind w:left="429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306D0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E0A4D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E4F65A">
        <w:start w:val="1"/>
        <w:numFmt w:val="lowerRoman"/>
        <w:lvlText w:val="%9."/>
        <w:lvlJc w:val="left"/>
        <w:pPr>
          <w:ind w:left="645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63"/>
    <w:rsid w:val="0010635C"/>
    <w:rsid w:val="00275A28"/>
    <w:rsid w:val="00480F13"/>
    <w:rsid w:val="004D7790"/>
    <w:rsid w:val="0077468C"/>
    <w:rsid w:val="008304BA"/>
    <w:rsid w:val="008B2F63"/>
    <w:rsid w:val="00AA335C"/>
    <w:rsid w:val="00B46AA6"/>
    <w:rsid w:val="00C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AAAF"/>
  <w15:docId w15:val="{42735E56-D234-3A48-A73A-79F52F3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outline w:val="0"/>
      <w:color w:val="0563C1"/>
      <w:u w:val="single" w:color="0563C1"/>
      <w:lang w:val="en-US"/>
    </w:rPr>
  </w:style>
  <w:style w:type="character" w:styleId="PlaceholderText">
    <w:name w:val="Placeholder Text"/>
    <w:basedOn w:val="DefaultParagraphFont"/>
    <w:uiPriority w:val="99"/>
    <w:semiHidden/>
    <w:rsid w:val="007746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nb.2021.10.01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xiv.org/abs/2405.1442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urallatents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48550/arXiv.2109.044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704389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Cheskis</cp:lastModifiedBy>
  <cp:revision>6</cp:revision>
  <dcterms:created xsi:type="dcterms:W3CDTF">2024-08-07T13:44:00Z</dcterms:created>
  <dcterms:modified xsi:type="dcterms:W3CDTF">2024-08-08T19:55:00Z</dcterms:modified>
</cp:coreProperties>
</file>