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480"/>
      </w:pPr>
      <w:r>
        <w:rPr>
          <w:rFonts w:ascii="Arial" w:cs="Arial" w:eastAsia="Arial" w:hAnsi="Arial"/>
          <w:b/>
          <w:bCs/>
          <w:color w:val="1B2A4A"/>
          <w:sz w:val="96"/>
          <w:szCs w:val="96"/>
        </w:rPr>
        <w:t xml:space="preserve">ASSAY</w:t>
      </w:r>
    </w:p>
    <w:p>
      <w:pPr>
        <w:spacing w:after="40" w:before="60"/>
      </w:pPr>
      <w:r>
        <w:rPr>
          <w:rFonts w:ascii="Arial" w:cs="Arial" w:eastAsia="Arial" w:hAnsi="Arial"/>
          <w:color w:val="2D5BE3"/>
          <w:sz w:val="36"/>
          <w:szCs w:val="36"/>
        </w:rPr>
        <w:t xml:space="preserve">Portfolio Backtest — Design Document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92AA"/>
          <w:sz w:val="24"/>
          <w:szCs w:val="24"/>
        </w:rPr>
        <w:t xml:space="preserve">Factor-driven portfolio simulation with full A-share constraint support</w:t>
      </w:r>
    </w:p>
    <w:p>
      <w:pPr>
        <w:spacing w:after="60" w:before="60"/>
      </w:pPr>
      <w:r>
        <w:t xml:space="preserve"/>
      </w:r>
    </w:p>
    <w:p>
      <w:pPr>
        <w:pBdr>
          <w:bottom w:val="single" w:color="2D5BE3" w:sz="4"/>
        </w:pBdr>
        <w:spacing w:after="0" w:before="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 (Draft)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Markets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A-share (primary)  ·  US  ·  HK (roadmap)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Universes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CSI 300, CSI 500, CSI 1000, SP500, NASDAQ100, HSI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Assay FactorEngine v0.1, DataStore PIT layer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Internal engineering design — pending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BE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BE3" w:sz="1"/>
              <w:left w:val="single" w:color="2D5BE3" w:sz="16"/>
              <w:bottom w:val="single" w:color="2D5BE3" w:sz="1"/>
              <w:right w:val="single" w:color="C5CCE0" w:sz="1"/>
            </w:tcBorders>
            <w:shd w:fill="EE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Portfolio backtesting answers a question that IC analysis cannot: given a factor signal, real trading constraints, and market costs, what is the achievable net return? The portfolio backtest module consumes a FactorReport and runs a full simulation of position-taking, rebalancing, and mark-to-market over the evaluation period.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module is designed as a pipeline of composable components. Each stage has a well-defined interface, making it possible to swap in different rebalance strategies, weight methods, cost models, and constraint sets without changing the surrounding infrastructure.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1.1 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BE3" w:sz="2"/>
              <w:left w:val="single" w:color="2D5BE3" w:sz="12"/>
              <w:bottom w:val="single" w:color="C5CCE0" w:sz="1"/>
              <w:right w:val="single" w:color="C5CCE0" w:sz="1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FactorReport  (IC, factor_vals, universe, period)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UniverseFilter       ← tradability check (ST, suspended, limit-hit)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│  eligible symbols per 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SignalProcessor      ← winsorize, neutralize, normalize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│  clean signal (T × 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RebalanceScheduler   ← calendar / threshold / optimization / signal-based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│  rebalance_dates[]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WeightConstructor    ← equal / signal-prop / MV / risk-parity / quintile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│  target_weights per rebalance 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ConstraintApplicator ← position limits, turnover cap, sector neutral, beta neutral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│  constrained_weights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ExecutionSimulator   ← slippage, partial fill, T+1 settlement (A-share)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│  actual_trades, costs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PortfolioAccountant  ← daily MTM, dividends, corporate actions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│  nav_series, position_log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▼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PortfolioReport      ← Sharpe, drawdown, attribution, benchmark comparison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BE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Configuration Schema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parameters are passed as a single PortfolioBacktestConfig object. This section defines every field, its type, default, and valid range. Fields marked with A are A-share specific.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2.1  Universe &amp;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000"/>
        <w:gridCol w:w="2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31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universe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CSI300</w:t>
            </w:r>
          </w:p>
        </w:tc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CSI300, CSI500, CSI1000, CSI800, SP500, NASDAQ100, HSI, CUSTOM</w:t>
            </w:r>
          </w:p>
        </w:tc>
        <w:tc>
          <w:tcPr>
            <w:tcW w:type="dxa" w:w="31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 universe for the backtest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A, US, HK</w:t>
            </w:r>
          </w:p>
        </w:tc>
        <w:tc>
          <w:tcPr>
            <w:tcW w:type="dxa" w:w="31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 identifier; sets calendar, cost model, settlement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custom_symbols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list[str]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valid tickers</w:t>
            </w:r>
          </w:p>
        </w:tc>
        <w:tc>
          <w:tcPr>
            <w:tcW w:type="dxa" w:w="31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Used when universe='CUSTOM'; overrides index membership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as_of_date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period[1]</w:t>
            </w:r>
          </w:p>
        </w:tc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trading date</w:t>
            </w:r>
          </w:p>
        </w:tc>
        <w:tc>
          <w:tcPr>
            <w:tcW w:type="dxa" w:w="31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PIT constraint: only use data known by this date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include_delisted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</w:t>
            </w:r>
          </w:p>
        </w:tc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1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Whether to include stocks delisted during period (survivorship bias control)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6"/>
              <w:bottom w:val="single" w:color="D4A017" w:sz="1"/>
              <w:right w:val="single" w:color="C5CCE0" w:sz="1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A-share: CSI300 rebalances every June and December. The backtest must track the exact historical composition at each date, not today's composition. Use the UniverseStore PIT query, not a static symbol list.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2.2  Evaluation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100"/>
        <w:gridCol w:w="15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43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Backtest start date; first signal generation date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period_end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(required)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Backtest end date (inclusive)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oos_split_date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set, period before = in-sample, after = OOS</w:t>
            </w:r>
          </w:p>
        </w:tc>
      </w:tr>
      <w:tr>
        <w:tc>
          <w:tcPr>
            <w:tcW w:type="dxa" w:w="1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warmup_days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0–252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Trading days before period_start used to warm operator cache (not included in returns)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2.3  Rebalance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1000"/>
        <w:gridCol w:w="20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37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rebalance_type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daily, weekly, monthly, quarterly, threshold, signal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Rebalance algorithm family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rebalance_day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</w:t>
            </w:r>
          </w:p>
        </w:tc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first, last, Wed (weekday name)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calendar-based: which day of the period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threshold_rank_shift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1–5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Threshold type: rebalance if rank shifts by N deciles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threshold_weight_drift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0.02</w:t>
            </w:r>
          </w:p>
        </w:tc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0.005–0.20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Threshold type: rebalance if weight drifts &gt; X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signal_autocorr_floor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0.70</w:t>
            </w:r>
          </w:p>
        </w:tc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0.40–0.95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Signal type: rebalance when factor autocorr drops below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min_rebalance_interval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1–63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trading days between rebalances (all types)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execution_offset_days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1–3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Trading days from signal to execution (1 = T+1 open)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6"/>
              <w:bottom w:val="single" w:color="C0392B" w:sz="1"/>
              <w:right w:val="single" w:color="C5CCE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execution_offset_days must be &gt;= 1. Setting it to 0 means executing at the same price used to generate the signal — this is a look-ahead bias. For A-share, the regulatory minimum is effectively 1 (T+1 settlement for equities).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2.4  Weight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11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35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weight_method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signal_prop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equal, signal_prop, mv, risk_parity, quintile, decile, bl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Weight construction algorithm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long_short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true: long top half, short bottom half. If false: long-only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gross_exposure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0.5–2.0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absolute weight sum (1.0 = fully invested)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net_exposure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-1.0–1.0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 weight sum; 0.0 = dollar-neutral L/S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signal_transform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rank, zscore, raw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How signal is transformed before weight allocation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quintile_long_n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1–3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quintile method: top N quintiles go long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quintile_short_n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1–3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quintile method: bottom N quintiles go short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mv_risk_aversion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0.1–10.0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Mean-variance: risk aversion parameter lambda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cov_window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252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60–504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Trading days for covariance matrix estimation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cov_method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ledoit_wolf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sample, ledoit_wolf, factor_model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Covariance estimation method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bl_tau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0.05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0.01–0.5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Black-Litterman: uncertainty in equilibrium prior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2.5  Portfolio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900"/>
        <w:gridCol w:w="1500"/>
        <w:gridCol w:w="42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42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max_single_weight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0.05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0.01–0.30</w:t>
            </w:r>
          </w:p>
        </w:tc>
        <w:tc>
          <w:tcPr>
            <w:tcW w:type="dxa" w:w="42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Maximum weight per individual stock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min_single_weight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0.0–0.01</w:t>
            </w:r>
          </w:p>
        </w:tc>
        <w:tc>
          <w:tcPr>
            <w:tcW w:type="dxa" w:w="42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non-zero weight (avoid dust positions)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max_sector_weight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0.30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0.10–1.0</w:t>
            </w:r>
          </w:p>
        </w:tc>
        <w:tc>
          <w:tcPr>
            <w:tcW w:type="dxa" w:w="42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Maximum total weight per CSRC/GICS sector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sector_neutral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42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Match sector weights to benchmark; overrides max_sector_weight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market_neutral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42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 beta = 0 via short index futures (A: IF/IC contracts)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max_turnover_per_period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0.10–2.0</w:t>
            </w:r>
          </w:p>
        </w:tc>
        <w:tc>
          <w:tcPr>
            <w:tcW w:type="dxa" w:w="42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Maximum two-way turnover per rebalance as fraction of portfolio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max_annual_turnover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0.5–10.0</w:t>
            </w:r>
          </w:p>
        </w:tc>
        <w:tc>
          <w:tcPr>
            <w:tcW w:type="dxa" w:w="42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Annualized turnover cap; null = no cap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min_stock_count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5–500</w:t>
            </w:r>
          </w:p>
        </w:tc>
        <w:tc>
          <w:tcPr>
            <w:tcW w:type="dxa" w:w="42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number of holdings; prevents over-concentration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max_stock_count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10–500</w:t>
            </w:r>
          </w:p>
        </w:tc>
        <w:tc>
          <w:tcPr>
            <w:tcW w:type="dxa" w:w="42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Maximum number of holdings; null = no cap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benchmark_tracking_err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0.01–0.20</w:t>
            </w:r>
          </w:p>
        </w:tc>
        <w:tc>
          <w:tcPr>
            <w:tcW w:type="dxa" w:w="42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Maximum ex-ante tracking error vs benchmark; null = unconstrained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capacity_adv_limit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0.10</w:t>
            </w:r>
          </w:p>
        </w:tc>
        <w:tc>
          <w:tcPr>
            <w:tcW w:type="dxa" w:w="1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0.01–0.50</w:t>
            </w:r>
          </w:p>
        </w:tc>
        <w:tc>
          <w:tcPr>
            <w:tcW w:type="dxa" w:w="42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order as fraction of 20-day average daily volume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6"/>
              <w:bottom w:val="single" w:color="D4A017" w:sz="1"/>
              <w:right w:val="single" w:color="C5CCE0" w:sz="1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A-share: sector_neutral uses the CSRC (证监会) industry classification, not GICS. The two do not map 1:1. Assay uses CSRC Level-1 (28 sectors) by default; Level-2 (104 sub-sectors) available as 'csrc_l2'.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2.6  A-share specific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6"/>
              <w:bottom w:val="single" w:color="C0392B" w:sz="1"/>
              <w:right w:val="single" w:color="C5CCE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All fields in this section apply ONLY when market='A'. They encode regulatory and market-microstructure rules that do not exist in US or HK markets. Ignoring them will produce systematically overstated backtest returns for A-share strategies.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1000"/>
        <w:gridCol w:w="18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38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t_plus_1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Enforce T+1 settlement: stocks bought today cannot be sold until next trading day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price_limit_pct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0.10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0.10, 0.20, null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price limit; 10% for main board, 20% for STAR/ChiNext, null to disable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star_chinext_limit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0.20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0.20, null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 limit for STAR Market (科创板) and ChiNext (创业板) stocks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st_filter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Exclude ST/* (Special Treatment) and *ST stocks from universe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new_listing_lockout_days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0–252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Exclude stocks listed within N trading days (new listings are volatile and illiquid)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ipo_lockout_days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0–252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Alias for new_listing_lockout_days; same field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stamp_duty_rate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0.001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0.0–0.003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Stamp duty (印花税); applies to sell side only. As of Aug 2023 reduced to 0.001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0.0003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0.0001–0.001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Brokerage commission; applies to both buy and sell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commission_min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0.0–10.0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commission per trade in CNY (最低佣金)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transfer_fee_rate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0.00002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0.00001–0.0001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fee (过户费); Shanghai exchange only, both sides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enforce_limit_price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stock is at daily limit-up, cannot buy; at limit-down, cannot sell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suspend_handling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skip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skip, close_prev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 to do when a stock is suspended: skip (hold) or force-close at previous price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rebalance_around_index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Avoid rebalancing within 3 days of CSI index reconstitution (price impact is high)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inclusion_anticipation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0–5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Days before known index addition to pre-buy; 0 = no anticipation (strict PIT)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northbound_flow_filter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Optionally exclude stocks with &gt; 30% northbound (foreign) holding concentration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sz_sh_connect_only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Restrict universe to Stock Connect eligible stocks (for foreign-accessible strategies)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2.6.1  T+1 settlement detail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A-share equity settlement is T+1: shares bought on day T cannot be sold until day T+1. This has three implications for the backtest: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buy order executed on day T is credited to the position on T+1 open, not T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sell order on day T requires the shares to have been held since at least day T-1. If the strategy generates both a buy and a sell for the same stock on the same day (e.g. after a rebalance that increases and decreases holdings simultaneously), the sell is deferred to T+1.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effective one-way turnover cost is higher than in US markets because there is no same-day round-trip arbitrage.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BE3" w:sz="2"/>
              <w:left w:val="single" w:color="2D5BE3" w:sz="12"/>
              <w:bottom w:val="single" w:color="C5CCE0" w:sz="1"/>
              <w:right w:val="single" w:color="C5CCE0" w:sz="1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class AShareSettlement: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def __init__(self):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self._inventory: dict[str, dict] = {}  # symbol → {qty, available_date}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def can_sell(self, symbol: str, trade_date: str) -&gt; float: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"""Returns maximum sellable quantity subject to T+1 rule."""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pos = self._inventory.get(symbol, {})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# Only shares acquired on or before trade_date - 1 are sellable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available = sum(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lot['qty'] for lot in pos.get('lots', [])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if lot['acquired_date'] &lt; trade_date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return available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def execute_buy(self, symbol: str, qty: float, trade_date: str):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# Shares added to position but NOT yet available to sell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self._inventory.setdefault(symbol, {'lots': []})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self._inventory[symbol]['lots'].append({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'qty': qty,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'acquired_date': trade_date,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})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2.6.2  Price limit handling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a stock hits its daily price limit, the execution model must handle two cases: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Limit-up (涨停): The stock cannot be bought at any price above the limit. Orders at the limit price may partially fill if sellers exist at that price (limit-up is not a ceiling on buyers — it means no transaction can occur above the limit price). In practice for backtesting, assume zero fill when limit-up and the strategy wants to buy.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Limit-down (跌停): The stock cannot be sold at any price below the limit. Assume zero fill when limit-down and the strategy wants to sell. This creates forced holding in extreme down moves — an important source of real-world drawdown that naive backtests miss.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BE3" w:sz="2"/>
              <w:left w:val="single" w:color="2D5BE3" w:sz="12"/>
              <w:bottom w:val="single" w:color="C5CCE0" w:sz="1"/>
              <w:right w:val="single" w:color="C5CCE0" w:sz="1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def apply_price_limit(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target_trades: pd.Series,    # symbol → target_qty_change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prices: pd.Series,           # symbol → today's closing price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prev_prices: pd.Series,      # symbol → yesterday's closing price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limit_pct: float = 0.10,     # 0.10 for main board, 0.20 for STAR/ChiNext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) -&gt; pd.Series: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limit_up   = prev_prices * (1 + limit_pct)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limit_down = prev_prices * (1 - limit_pct)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at_limit_up   = prices &gt;= limit_up   * 0.9999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at_limit_down = prices &lt;= limit_down * 1.0001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# Zero out buys at limit-up and sells at limit-down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executable = target_trades.copy()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executable[at_limit_up   &amp; (target_trades &gt; 0)] = 0  # can't buy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executable[at_limit_down &amp; (target_trades &lt; 0)] = 0  # can't sell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return executable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2.6.3  Transaction cost breakdown (A-share)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800"/>
        <w:gridCol w:w="10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9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8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</w:t>
            </w:r>
          </w:p>
        </w:tc>
        <w:tc>
          <w:tcPr>
            <w:tcW w:type="dxa" w:w="1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dxa" w:w="44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Commission (佣金)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0.03%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SSE + SZSE</w:t>
            </w:r>
          </w:p>
        </w:tc>
        <w:tc>
          <w:tcPr>
            <w:tcW w:type="dxa" w:w="44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CNY 5 per transaction; negotiable with broker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Stamp duty (印花税)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0.10%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Sell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44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Reduced from 0.20% in Aug 2023; sell side only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fee (过户费)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0.002%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SSE only</w:t>
            </w:r>
          </w:p>
        </w:tc>
        <w:tc>
          <w:tcPr>
            <w:tcW w:type="dxa" w:w="44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Shanghai only; both buy and sell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 impact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44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Almgren-Chriss model; k=0.20 for CSI300 stocks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(buy, Shanghai)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~0.052%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Buy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SSE</w:t>
            </w:r>
          </w:p>
        </w:tc>
        <w:tc>
          <w:tcPr>
            <w:tcW w:type="dxa" w:w="44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Commission + transfer fee + impact (at ADV=1%)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(sell, Shanghai)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~0.152%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Sell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SSE</w:t>
            </w:r>
          </w:p>
        </w:tc>
        <w:tc>
          <w:tcPr>
            <w:tcW w:type="dxa" w:w="44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Commission + stamp duty + transfer fee + impact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(buy, Shenzhen)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~0.050%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Buy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SZSE</w:t>
            </w:r>
          </w:p>
        </w:tc>
        <w:tc>
          <w:tcPr>
            <w:tcW w:type="dxa" w:w="44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transfer fee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(sell, Shenzhen)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~0.150%</w:t>
            </w:r>
          </w:p>
        </w:tc>
        <w:tc>
          <w:tcPr>
            <w:tcW w:type="dxa" w:w="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Sell</w:t>
            </w:r>
          </w:p>
        </w:tc>
        <w:tc>
          <w:tcPr>
            <w:tcW w:type="dxa" w:w="1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SZSE</w:t>
            </w:r>
          </w:p>
        </w:tc>
        <w:tc>
          <w:tcPr>
            <w:tcW w:type="dxa" w:w="44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E" w:sz="1"/>
              <w:left w:val="single" w:color="0E8A7E" w:sz="16"/>
              <w:bottom w:val="single" w:color="0E8A7E" w:sz="1"/>
              <w:right w:val="single" w:color="C5CCE0" w:sz="1"/>
            </w:tcBorders>
            <w:shd w:fill="EA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As of the Aug 2023 stamp duty reduction, A-share round-trip transaction costs are approximately 0.20% + market impact for SSE stocks and 0.20% for SZSE stocks. This is higher than US markets (~0.10% round-trip for large-caps) but lower than pre-2023 levels.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2.7  Execution model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1100"/>
        <w:gridCol w:w="21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1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35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execution_price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next_open</w:t>
            </w:r>
          </w:p>
        </w:tc>
        <w:tc>
          <w:tcPr>
            <w:tcW w:type="dxa" w:w="2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next_open, next_close, vwap, arrival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 benchmark for order execution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slippage_model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sqrt</w:t>
            </w:r>
          </w:p>
        </w:tc>
        <w:tc>
          <w:tcPr>
            <w:tcW w:type="dxa" w:w="2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sqrt, linear, zero, almgren_chriss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 impact model family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slippage_k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0.20</w:t>
            </w:r>
          </w:p>
        </w:tc>
        <w:tc>
          <w:tcPr>
            <w:tcW w:type="dxa" w:w="2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0.05–0.50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Impact coefficient; scales with sqrt(order/adv)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adv_window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2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5–60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Trading days for average daily volume calculation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max_adv_fraction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0.10</w:t>
            </w:r>
          </w:p>
        </w:tc>
        <w:tc>
          <w:tcPr>
            <w:tcW w:type="dxa" w:w="2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0.01–0.50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order size as fraction of ADV; excess is deferred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partial_fill_handling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defer</w:t>
            </w:r>
          </w:p>
        </w:tc>
        <w:tc>
          <w:tcPr>
            <w:tcW w:type="dxa" w:w="2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defer, cancel, force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 to do with unfilled portion: defer to next day, cancel, or force at worst price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include_bid_ask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</w:t>
            </w:r>
          </w:p>
        </w:tc>
        <w:tc>
          <w:tcPr>
            <w:tcW w:type="dxa" w:w="21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half-spread to each transaction cost (requires bid-ask data)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2.8  Benchmark and attribution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9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37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benchmark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index, cash, custom, none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Benchmark for excess return calculation. 'index' uses the universe index (e.g. CSI300 index for CSI300 universe)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benchmark_symbol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index symbol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Used when benchmark='custom'; e.g. '000905.SH'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risk_free_rate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0.015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0.0–0.05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risk-free rate for Sharpe calculation (CNY: ~1.5%; USD: dynamic from SOFR)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attribution_model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brinson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brinson, factor, simple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 attribution methodology</w:t>
            </w:r>
          </w:p>
        </w:tc>
      </w:tr>
      <w:tr>
        <w:tc>
          <w:tcPr>
            <w:tcW w:type="dxa" w:w="1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attribution_factors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[]</w:t>
            </w:r>
          </w:p>
        </w:tc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factor_id strings</w:t>
            </w:r>
          </w:p>
        </w:tc>
        <w:tc>
          <w:tcPr>
            <w:tcW w:type="dxa" w:w="3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Additional factors to include in attribution decomposition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2.9  Output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900"/>
        <w:gridCol w:w="5860"/>
      </w:tblGrid>
      <w:tr>
        <w:trPr>
          <w:tblHeader/>
        </w:trPr>
        <w:tc>
          <w:tcPr>
            <w:tcW w:type="dxa" w:w="19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8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output_frequency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</w:t>
            </w:r>
          </w:p>
        </w:tc>
        <w:tc>
          <w:tcPr>
            <w:tcW w:type="dxa" w:w="5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Frequency of NAV and position snapshots: daily, weekly, monthly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save_trade_log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</w:t>
            </w:r>
          </w:p>
        </w:tc>
        <w:tc>
          <w:tcPr>
            <w:tcW w:type="dxa" w:w="5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Whether to store every individual trade in the PortfolioReport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save_position_log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</w:t>
            </w:r>
          </w:p>
        </w:tc>
        <w:tc>
          <w:tcPr>
            <w:tcW w:type="dxa" w:w="5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Whether to store daily position snapshots (large for long periods)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compute_attribution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</w:t>
            </w:r>
          </w:p>
        </w:tc>
        <w:tc>
          <w:tcPr>
            <w:tcW w:type="dxa" w:w="5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Whether to compute return attribution (adds computation time)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bootstrap_sharpe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</w:t>
            </w:r>
          </w:p>
        </w:tc>
        <w:tc>
          <w:tcPr>
            <w:tcW w:type="dxa" w:w="5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Whether to compute bootstrap confidence intervals for Sharpe</w:t>
            </w:r>
          </w:p>
        </w:tc>
      </w:tr>
      <w:tr>
        <w:tc>
          <w:tcPr>
            <w:tcW w:type="dxa" w:w="1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n_bootstrap</w:t>
            </w:r>
          </w:p>
        </w:tc>
        <w:tc>
          <w:tcPr>
            <w:tcW w:type="dxa" w:w="7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1000</w:t>
            </w:r>
          </w:p>
        </w:tc>
        <w:tc>
          <w:tcPr>
            <w:tcW w:type="dxa" w:w="5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 of bootstrap samples for Sharpe CI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BE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Rebalance Algorithms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3.1  Calendar-based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Rebalances on a fixed schedule regardless of signal changes. The simplest algorithm; the appropriate choice when factor decay is slow (half-life &gt; 20 days) and transaction costs are a primary concern.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5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 case</w:t>
            </w:r>
          </w:p>
        </w:tc>
        <w:tc>
          <w:tcPr>
            <w:tcW w:type="dxa" w:w="26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annual turnover</w:t>
            </w:r>
          </w:p>
        </w:tc>
      </w:tr>
      <w:tr>
        <w:tc>
          <w:tcPr>
            <w:tcW w:type="dxa" w:w="1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</w:t>
            </w:r>
          </w:p>
        </w:tc>
        <w:tc>
          <w:tcPr>
            <w:tcW w:type="dxa" w:w="5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Fast-decay factors (half-life &lt; 5d), high-frequency research</w:t>
            </w:r>
          </w:p>
        </w:tc>
        <w:tc>
          <w:tcPr>
            <w:tcW w:type="dxa" w:w="2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400–1200%</w:t>
            </w:r>
          </w:p>
        </w:tc>
      </w:tr>
      <w:tr>
        <w:tc>
          <w:tcPr>
            <w:tcW w:type="dxa" w:w="1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  <w:tc>
          <w:tcPr>
            <w:tcW w:type="dxa" w:w="5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Half-life 5–20 days; momentum / short-term reversal factors</w:t>
            </w:r>
          </w:p>
        </w:tc>
        <w:tc>
          <w:tcPr>
            <w:tcW w:type="dxa" w:w="2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100–400%</w:t>
            </w:r>
          </w:p>
        </w:tc>
      </w:tr>
      <w:tr>
        <w:tc>
          <w:tcPr>
            <w:tcW w:type="dxa" w:w="1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</w:t>
            </w:r>
          </w:p>
        </w:tc>
        <w:tc>
          <w:tcPr>
            <w:tcW w:type="dxa" w:w="5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Half-life 20–60 days; most fundamental and quality factors</w:t>
            </w:r>
          </w:p>
        </w:tc>
        <w:tc>
          <w:tcPr>
            <w:tcW w:type="dxa" w:w="2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50–150%</w:t>
            </w:r>
          </w:p>
        </w:tc>
      </w:tr>
      <w:tr>
        <w:tc>
          <w:tcPr>
            <w:tcW w:type="dxa" w:w="1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quarterly</w:t>
            </w:r>
          </w:p>
        </w:tc>
        <w:tc>
          <w:tcPr>
            <w:tcW w:type="dxa" w:w="5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Half-life &gt; 60 days; value, balance sheet factors</w:t>
            </w:r>
          </w:p>
        </w:tc>
        <w:tc>
          <w:tcPr>
            <w:tcW w:type="dxa" w:w="26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20–60%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BE3" w:sz="2"/>
              <w:left w:val="single" w:color="2D5BE3" w:sz="12"/>
              <w:bottom w:val="single" w:color="C5CCE0" w:sz="1"/>
              <w:right w:val="single" w:color="C5CCE0" w:sz="1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class CalendarRebalancer: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FREQ_TO_METHOD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'daily':     lambda cal, s, e: cal.trading_dates(s, 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'weekly':    lambda cal, s, e: cal.week_end_dates(s, 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'monthly':   lambda cal, s, e: cal.month_end_dates(s, 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'quarterly': lambda cal, s, e: cal.quarter_end_dates(s, 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def get_rebalance_dates(self, calendar, start, end) -&gt; list[str]: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fn = self.FREQ_TO_METHOD[self.frequency]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dates = fn(calendar, start, end)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if self.rebalance_day == 'first':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# Convert month-end to month-start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dates = [calendar.next_trading_date(d) for d in dates]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# A-share: avoid rebalancing within 3 days of index reconstitution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if self.market == 'A' and self.rebalance_around_index: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recon_dates = self._get_index_recon_dates()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dates = [d for d in dates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     if not any(abs((d - r).days) &lt;= 3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                for r in recon_dates)]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return dates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3.2  Threshold-based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Rebalances only when the portfolio has drifted sufficiently from the target. Reduces unnecessary turnover for stable factors; most useful when the factor changes slowly but market price moves cause drift.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BE3" w:sz="2"/>
              <w:left w:val="single" w:color="2D5BE3" w:sz="12"/>
              <w:bottom w:val="single" w:color="C5CCE0" w:sz="1"/>
              <w:right w:val="single" w:color="C5CCE0" w:sz="1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class ThresholdRebalancer: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def check(self,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current_weights: pd.Series,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target_weights:  pd.Series,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current_ranks:   pd.Series,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new_ranks:       pd.Series,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) -&gt; tuple[bool, pd.Series]: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Returns (should_rebalance, symbols_to_trade).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Partial rebalance: only trades symbols that triggered threshold.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rank_shift   = (new_ranks - current_ranks).abs()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weight_drift = (target_weights - current_weights).abs()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trigger_rank   = rank_shift   &gt; self.threshold_rank_shift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trigger_weight = weight_drift &gt; self.threshold_weight_drift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triggered = trigger_rank | trigger_weight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if not triggered.any():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return False, pd.Series(dtype=float)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# Only rebalance triggered symbols, leave others unchanged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partial_target = current_weights.copy()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partial_target[triggered] = target_weights[triggered]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return True, partial_target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3.3  Optimization-based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Solves a quadratic program at each rebalance date to find weights that maximize risk-adjusted signal while respecting all constraints. Requires a covariance matrix estimate; uses Ledoit-Wolf shrinkage by default.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BE3" w:sz="2"/>
              <w:left w:val="single" w:color="2D5BE3" w:sz="12"/>
              <w:bottom w:val="single" w:color="C5CCE0" w:sz="1"/>
              <w:right w:val="single" w:color="C5CCE0" w:sz="1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import cvxpy as cp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from sklearn.covariance import LedoitWolf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class OptimizationRebalancer: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def compute_weights(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self,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alpha:      np.ndarray,   # (N,) normalized signal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returns:    np.ndarray,   # (T, N) historical returns for cov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current_w:  np.ndarray,   # (N,) current weights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config:     PortfolioBacktestConfig,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) -&gt; np.ndarray: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N = len(alpha)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# Covariance estimation with shrinkage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lw  = LedoitWolf().fit(returns[-config.cov_window:])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cov = lw.covariance_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w = cp.Variable(N)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lam = config.mv_risk_aversion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# Objective: maximize alpha - lambda/2 * variance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obj = cp.Maximize(alpha @ w - (lam/2) * cp.quad_form(w, cov))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constraints = [cp.sum(w) == config.net_exposure]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if config.long_short is False: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constraints +=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w &gt;= config.min_single_weight,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w &lt;= config.max_single_weight,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else: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constraints +=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w &gt;= -config.max_single_weight,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w &lt;= config.max_single_weight,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cp.sum(cp.pos(w))  &lt;= config.gross_exposure / 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cp.sum(cp.neg(-w)) &lt;= config.gross_exposure / 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# Turnover constraint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if config.max_turnover_per_period &lt; 1.0: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constraints.append(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cp.norm1(w - current_w) &lt;= 2 * config.max_turnover_per_period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prob = cp.Problem(obj, constraints)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prob.solve(solver=cp.CLARABEL, warm_start=True)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if prob.status not in ('optimal', 'optimal_inaccurate'):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# Fallback: equal weight within eligible universe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return np.ones(N) / 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return np.clip(w.value, 0 if not config.long_short else -1, 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3.4  Signal-based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Rebalances based on the factor's own autocorrelation properties. When the factor signal is stable (high autocorrelation), no rebalance is needed. When it shifts rapidly, rebalance is triggered.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BE3" w:sz="2"/>
              <w:left w:val="single" w:color="2D5BE3" w:sz="12"/>
              <w:bottom w:val="single" w:color="C5CCE0" w:sz="1"/>
              <w:right w:val="single" w:color="C5CCE0" w:sz="1"/>
            </w:tcBorders>
            <w:shd w:fill="F0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class SignalRebalancer: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def get_rebalance_dates(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self,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factor_vals: pd.DataFrame,   # (T, N) factor values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calendar,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config: PortfolioBacktestConfig,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) -&gt; list[str]: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# Compute 5-day rolling rank autocorrelation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ranks = factor_vals.rank(axis=1, pct=True)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autocorr = ranks.corrwith(ranks.shift(1), axis=1)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rolling_ac = autocorr.rolling(5).mean()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dates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last_rebal =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for date, ac in rolling_ac.items():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if pd.isna(ac): continue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min_gap = config.min_rebalance_interval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if last_rebal and (date - last_rebal).days &lt; min_gap: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continue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if ac &lt; config.signal_autocorr_floor: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dates.append(str(date.date()))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        last_rebal = 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 return dates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BE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Performance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4.1  Return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8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return</w:t>
            </w:r>
          </w:p>
        </w:tc>
        <w:tc>
          <w:tcPr>
            <w:tcW w:type="dxa" w:w="3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NAV_end / NAV_start - 1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Cumulative return over full period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Annualized return</w:t>
            </w:r>
          </w:p>
        </w:tc>
        <w:tc>
          <w:tcPr>
            <w:tcW w:type="dxa" w:w="3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(1 + total_return)^(252/T) - 1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 = trading days; 252 = annual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Excess return</w:t>
            </w:r>
          </w:p>
        </w:tc>
        <w:tc>
          <w:tcPr>
            <w:tcW w:type="dxa" w:w="3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portfolio_return - benchmark_return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Alpha vs chosen benchmark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return</w:t>
            </w:r>
          </w:p>
        </w:tc>
        <w:tc>
          <w:tcPr>
            <w:tcW w:type="dxa" w:w="3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sum(log(NAV_t / NAV_{t-1}))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Additive across periods; useful for regime analysis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Gross return</w:t>
            </w:r>
          </w:p>
        </w:tc>
        <w:tc>
          <w:tcPr>
            <w:tcW w:type="dxa" w:w="3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Before transaction costs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Upper bound on achievable performance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 return</w:t>
            </w:r>
          </w:p>
        </w:tc>
        <w:tc>
          <w:tcPr>
            <w:tcW w:type="dxa" w:w="35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After all transaction costs</w:t>
            </w:r>
          </w:p>
        </w:tc>
        <w:tc>
          <w:tcPr>
            <w:tcW w:type="dxa" w:w="38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Realized return; the number that matters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4.2  Risk-adjusted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(R_p - R_f) / sigma_p  x sqrt(252)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sigma_p = annualized daily return std; use risk_free_rate param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Sortino ratio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(R_p - R_f) / sigma_down  x sqrt(252)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sigma_down = downside std (only negative returns)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Calmar ratio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return / Max drawdown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Penalizes strategies with large drawdowns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Information ratio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Excess return / Tracking error  x sqrt(252)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Measures alpha per unit of active risk vs benchmark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max(1 - NAV_t / max(NAV_s, s&lt;=t))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Peak-to-trough loss; largest observed drawdown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Drawdown duration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consecutive days below previous peak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Measures recovery speed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Beta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Cov(R_p, R_m) / Var(R_m)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 sensitivity; 0 = market-neutral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Alpha (CAPM)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R_p - R_f - beta*(R_m - R_f)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Risk-adjusted excess return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Tracking error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std(R_p - R_benchmark) x sqrt(252)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Annualized active return volatility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4.3  Turnover and cost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One-way turnover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sum(|w_t - w_{t-1}|) / 2  per period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Fraction of portfolio traded per rebalance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turnover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One-way turnover x rebalances_per_year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Normalized; 1.0 = 100% of portfolio traded each year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 drag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Gross return - Net return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performance lost to transaction costs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 holding period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/ annual_one_way_turnover  (years)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Implied average holding period per position</w:t>
            </w:r>
          </w:p>
        </w:tc>
      </w:tr>
      <w:tr>
        <w:tc>
          <w:tcPr>
            <w:tcW w:type="dxa" w:w="2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Break-even IC</w:t>
            </w:r>
          </w:p>
        </w:tc>
        <w:tc>
          <w:tcPr>
            <w:tcW w:type="dxa" w:w="30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Cost_drag / sqrt(breadth)</w:t>
            </w:r>
          </w:p>
        </w:tc>
        <w:tc>
          <w:tcPr>
            <w:tcW w:type="dxa" w:w="43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IC needed to cover trading costs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4.4  A-share specific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Limit-hit rate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Fraction of intended trades blocked by daily price limits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Forced hold ratio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Fraction of portfolio days where T+1 prevented intended sells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Suspension impact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 lost due to forced holding of suspended stocks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 exposure days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Days with inadvertent ST stock exposure (data quality check)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 recon alpha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 attributable to index addition/removal events</w:t>
            </w:r>
          </w:p>
        </w:tc>
      </w:tr>
      <w:tr>
        <w:tc>
          <w:tcPr>
            <w:tcW w:type="dxa" w:w="28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Northbound flow corr</w:t>
            </w:r>
          </w:p>
        </w:tc>
        <w:tc>
          <w:tcPr>
            <w:tcW w:type="dxa" w:w="65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Correlation of portfolio returns with northbound trading flow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BE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PortfolioReport Schema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PortfolioReport is the structured output of a completed backtest. It mirrors the FactorReport design: machine-readable JSON for agent consumption, with every field serving a specific diagnostic purpose.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run_id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SHA-256[:12] of (factor_id + config hash)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factor_id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 factor from FactorReport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PortfolioBacktestConfig used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Actual start date (after warmup)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period_end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Actual end date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n_trading_days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trading days in backtest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n_rebalances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Actual number of rebalances executed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total_return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 total return over period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annual_return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Annualized net return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gross_return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 before all transaction costs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excess_return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 minus benchmark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sharpe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Annualized Sharpe (net returns)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sortino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Annualized Sortino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calmar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return / max drawdown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information_ratio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Excess return / tracking error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max_drawdown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Peak-to-trough maximum loss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max_drawdown_start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peak was set before max drawdown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max_drawdown_end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trough was reached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drawdown_recovery_days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| null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Trading days to recover; null if not yet recovered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beta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 beta vs benchmark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alpha_capm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CAPM alpha (annualized)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tracking_error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Annualized active return std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annual_turnover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One-way annual turnover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cost_drag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Gross - net return (transaction cost total)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avg_holding_days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Implied average holding period in trading days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nav_series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list[float]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NAV indexed from 1.0 at period_start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nav_dates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list[str]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Trading dates corresponding to nav_series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benchmark_series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list[float]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Benchmark NAV series (same dates)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monthly_returns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dict[str, float]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→ return; for heatmap display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trade_log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list[Trade]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executed trades; present if save_trade_log=true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position_log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list[Snapshot]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position snapshots; present if save_position_log=true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 attribution by factor/sector; present if compute_attribution=true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a_share_metrics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A-share specific metrics; present if market='A'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lineage.data_snapshot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DataStore snapshot used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lineage.eval_timestamp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 8601 run time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lineage.adj_version</w:t>
            </w:r>
          </w:p>
        </w:tc>
        <w:tc>
          <w:tcPr>
            <w:tcW w:type="dxa" w:w="14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</w:t>
            </w:r>
          </w:p>
        </w:tc>
        <w:tc>
          <w:tcPr>
            <w:tcW w:type="dxa" w:w="576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Adjustment factor version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BE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Market Comparison: A-share vs US vs HK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rPr>
          <w:tblHeader/>
        </w:trPr>
        <w:tc>
          <w:tcPr>
            <w:tcW w:type="dxa" w:w="2200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86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A-share (SSE/SZSE)</w:t>
            </w:r>
          </w:p>
        </w:tc>
        <w:tc>
          <w:tcPr>
            <w:tcW w:type="dxa" w:w="2387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(NYSE/NASDAQ)</w:t>
            </w:r>
          </w:p>
        </w:tc>
        <w:tc>
          <w:tcPr>
            <w:tcW w:type="dxa" w:w="2387"/>
            <w:tcBorders>
              <w:top w:val="single" w:color="1B2A4A" w:sz="2"/>
              <w:left w:val="single" w:color="1B2A4A" w:sz="1"/>
              <w:bottom w:val="single" w:color="1B2A4A" w:sz="2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HK (HKEX)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Settlement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T+1 (equity)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T+2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T+2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 limits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±10% (main), ±20% (STAR)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 (circuit breakers)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Stamp duty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0.10% sell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0%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0.13% both sides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Commission (typical)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0.03% both, min CNY 5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0.01–0.05% both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0.03–0.05% both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fee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0.002% both (SSE only)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0%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0.003% both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Short selling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Restricted; approved list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Generally allowed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Allowed with margin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 rebalance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Semiannual (Jun/Dec)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Quarterly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 listing lock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 days recommended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formal requirement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formal requirement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 filter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Sector classification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CSRC (证监会)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GICS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GICS / Hang Seng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 impact k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0.20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0.10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Risk-free rate ref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1-year LPR (~3.10%)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SOFR (dynamic)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HIBOR (dynamic)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Trading hours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9:30–11:30, 13:00–15:00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9:30–16:00 ET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4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9:30–12:00, 13:00–16:00</w:t>
            </w:r>
          </w:p>
        </w:tc>
      </w:tr>
      <w:tr>
        <w:tc>
          <w:tcPr>
            <w:tcW w:type="dxa" w:w="2200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turnover ceiling</w:t>
            </w:r>
          </w:p>
        </w:tc>
        <w:tc>
          <w:tcPr>
            <w:tcW w:type="dxa" w:w="2386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~200% practical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~500% practical</w:t>
            </w:r>
          </w:p>
        </w:tc>
        <w:tc>
          <w:tcPr>
            <w:tcW w:type="dxa" w:w="2387"/>
            <w:tcBorders>
              <w:top w:val="single" w:color="C5CCE0" w:sz="1"/>
              <w:left w:val="single" w:color="C5CCE0" w:sz="1"/>
              <w:bottom w:val="single" w:color="C5CCE0" w:sz="1"/>
              <w:right w:val="single" w:color="C5CC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~300% practical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6"/>
              <w:bottom w:val="single" w:color="D4A017" w:sz="1"/>
              <w:right w:val="single" w:color="C5CCE0" w:sz="1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The 'annual turnover ceiling' figures are practical limits imposed by market impact costs. At 200% annual turnover in A-share, the transaction cost drag typically exceeds 2% per year for mid-cap stocks, consuming most of the alpha from moderate-IC factors. Size the rebalance frequency to the factor's half-life, not to the maximum technically possible.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D5BE3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Key Implementation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7.1  Survivorship bias prevention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single most important correctness requirement. Use UniverseStore.get_universe_as_of(date) for every rebalance date; never use today's index composition for historical backtests. Delisted stocks must be included in the historical universe and their last traded price used for forced-close PnL.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7.2  Corporate action alignment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Dividend ex-dates and split effective dates affect both the price series and the cost model. The adj_factor must be versioned and queried as_of the backtest date, not the current date. Using today's cumulative adj_factor on historical prices introduces a subtle look-ahead bias in the same direction as the real corporate action.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7.3  Index reconstitution handling (A-share)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CSI 300 and CSI 500 reconstitution in June and December causes significant short-term price impact on addition and deletion candidates. The backtest should optionally exclude the 3 trading days around the effective date from being a rebalance date (rebalance_around_index=true). The model should not anticipate reconstitution unless inclusion_anticipation &gt; 0 is explicitly set, as that requires non-public information.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7.4  CSI 300 vs CSI 500 universe differences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CSI 300: large-cap, more liquid, lower market impact, lower alpha from most factors (more efficiently priced)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CSI 500: mid-cap, more alpha opportunity, higher market impact, more ST/suspension risk, requires higher capacity_adv_limit discipline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CSI 1000: small-cap, highest alpha potential, highest execution difficulty, T+1 and price limit constraints bite more frequently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BE3"/>
          <w:sz w:val="28"/>
          <w:szCs w:val="28"/>
        </w:rPr>
        <w:t xml:space="preserve">7.5  Covariance matrix for A-share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A-share returns are more cross-correlated than US returns due to retail investor herding behavior. The Ledoit-Wolf shrinkage parameter should be validated on A-share data; the optimal shrinkage coefficient is typically higher (0.3–0.5) than the US equivalent (0.1–0.2). The factor risk model (Barra CNE5 or equivalent) is the preferred choice for the optimization rebalancer on A-share universes.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92AA"/>
          <w:sz w:val="20"/>
          <w:szCs w:val="20"/>
        </w:rPr>
        <w:t xml:space="preserve">—  Assay  ·  Portfolio Backtest Design  ·  AlphaBench Project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CE0" w:sz="1" w:space="4"/>
      </w:pBdr>
      <w:spacing w:after="0" w:before="0"/>
      <w:jc w:val="center"/>
    </w:pPr>
    <w:r>
      <w:rPr>
        <w:rFonts w:ascii="Arial" w:cs="Arial" w:eastAsia="Arial" w:hAnsi="Arial"/>
        <w:color w:val="8892AA"/>
        <w:sz w:val="18"/>
        <w:szCs w:val="18"/>
      </w:rPr>
      <w:t xml:space="preserve">Assay  ·  Portfolio Backtest  ·  </w:t>
    </w:r>
    <w:r>
      <w:rPr>
        <w:rFonts w:ascii="Arial" w:cs="Arial" w:eastAsia="Arial" w:hAnsi="Arial"/>
        <w:color w:val="8892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CE0" w:sz="1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b/>
        <w:bCs/>
        <w:color w:val="2D5BE3"/>
        <w:sz w:val="18"/>
        <w:szCs w:val="18"/>
      </w:rPr>
      <w:t xml:space="preserve">ASSAY  </w:t>
    </w:r>
    <w:r>
      <w:rPr>
        <w:rFonts w:ascii="Arial" w:cs="Arial" w:eastAsia="Arial" w:hAnsi="Arial"/>
        <w:color w:val="8892AA"/>
        <w:sz w:val="18"/>
        <w:szCs w:val="18"/>
      </w:rPr>
      <w:t xml:space="preserve">Portfolio Backtest Design Document</w:t>
    </w:r>
    <w:r>
      <w:rPr>
        <w:rFonts w:ascii="Arial" w:cs="Arial" w:eastAsia="Arial" w:hAnsi="Arial"/>
        <w:i/>
        <w:iCs/>
        <w:color w:val="8892AA"/>
        <w:sz w:val="18"/>
        <w:szCs w:val="18"/>
      </w:rPr>
      <w:t xml:space="preserve">	v0.1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2026-06-10T10:22:27.902Z</dcterms:created>
  <dcterms:modified xsi:type="dcterms:W3CDTF">2026-06-10T10:22:27.915Z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