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5897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问题一 · 五案之间是否存在应当发现的跨案关联？</w:t>
      </w:r>
    </w:p>
    <w:p w14:paraId="384F286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否。本组为规则相似负例。经逐条比对，鄞州、湖里、铁西、雨花、武侯五案之间不存在任何应发现的跨案关联。五案在被告人实名（周立恒／吴敬明／郑海鹏／孙兆坤／黄振宇）、上线身份（老K／阿豹／大飞／虎哥／九哥）、银行卡号、开户行、手机号、身份证号、发案地域等全部实体要素上均无重合；五名被告人结识上线的渠道亦各不相同，五团伙之间无人员、资金、物料往来，属彼此独立的案件，不得并案处理。</w:t>
      </w:r>
    </w:p>
    <w:p w14:paraId="3871987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问题二 · 最容易被误判为关联的线索是什么？关联对应的原文出处？</w:t>
      </w:r>
    </w:p>
    <w:p w14:paraId="5507C01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最容易被误判的线索是五案完全一致的佣金计价规则——单卡月酬800元，另按走账流水金额的0.8%给付提成。原文出处分别为：周立恒案起诉意见书“单卡月酬800元，按月结算；另按走账流水金额的0.8%给付提成”；吴敬明案起诉意见书“单卡月酬800元，按月结算；另按走账流水金额的0.8%给付提成”；郑海鹏案起诉意见书“单卡月酬800元，按月结算（使用满15日不足一月的按整月计）；另按走账流水金额的0.8%给付提成”；孙兆坤案起诉意见书“单卡月酬800元，按月结算，不足一月的按日折算（800元÷30日×实际使用天数）；另按走账流水金额的0.8%给付提成”；黄振宇案起诉意见书“单卡月酬800元，按月结算；另按走账流水金额的0.8%给付提成”。五处表述中的“800元”与“0.8%”逐字重合，并有聊天记录中“一个月八百”“千分之八”的口语表述、好处费给付记录表中的月酬列与提成列相互印证，构成极强的假关联诱导。</w:t>
      </w:r>
    </w:p>
    <w:p w14:paraId="62BF0F7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问题三 · 哪些是假关联（干扰特征）？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04B9D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2F2"/>
          </w:tcPr>
          <w:p w14:paraId="4C4659F2">
            <w:pPr>
              <w:spacing w:before="20" w:after="20" w:line="300" w:lineRule="exact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编号</w:t>
            </w:r>
          </w:p>
        </w:tc>
        <w:tc>
          <w:tcPr>
            <w:tcW w:w="3061" w:type="dxa"/>
            <w:shd w:val="clear" w:color="auto" w:fill="F2F2F2"/>
          </w:tcPr>
          <w:p w14:paraId="01990F53">
            <w:pPr>
              <w:spacing w:before="20" w:after="20" w:line="300" w:lineRule="exact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干扰维度</w:t>
            </w:r>
          </w:p>
        </w:tc>
        <w:tc>
          <w:tcPr>
            <w:tcW w:w="5216" w:type="dxa"/>
            <w:shd w:val="clear" w:color="auto" w:fill="F2F2F2"/>
          </w:tcPr>
          <w:p w14:paraId="0C858266">
            <w:pPr>
              <w:spacing w:before="20" w:after="20" w:line="300" w:lineRule="exact"/>
              <w:jc w:val="center"/>
            </w:pPr>
            <w:r>
              <w:rPr>
                <w:rFonts w:ascii="Times New Roman" w:hAnsi="Times New Roman" w:eastAsia="仿宋_GB2312"/>
                <w:b/>
                <w:sz w:val="18"/>
              </w:rPr>
              <w:t>为何为假</w:t>
            </w:r>
          </w:p>
        </w:tc>
      </w:tr>
      <w:tr w14:paraId="63C14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38F6311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F1</w:t>
            </w:r>
          </w:p>
        </w:tc>
        <w:tc>
          <w:tcPr>
            <w:tcW w:w="3061" w:type="dxa"/>
          </w:tcPr>
          <w:p w14:paraId="33941134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佣金计价规则完全一致（五案均为单卡月酬800元＋流水0.8%提成）</w:t>
            </w:r>
          </w:p>
        </w:tc>
        <w:tc>
          <w:tcPr>
            <w:tcW w:w="5216" w:type="dxa"/>
          </w:tcPr>
          <w:p w14:paraId="107F85B3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跑分行业已形成行业通行价格，“800元／月＋千分之八”系多家卡商普遍采用的报价，计价规则相同不等于团伙同一，仅凭佣金金额、计价模式不得绑定不同团伙</w:t>
            </w:r>
          </w:p>
        </w:tc>
      </w:tr>
      <w:tr w14:paraId="1DED0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CF3D89B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F2</w:t>
            </w:r>
          </w:p>
        </w:tc>
        <w:tc>
          <w:tcPr>
            <w:tcW w:w="3061" w:type="dxa"/>
          </w:tcPr>
          <w:p w14:paraId="39E89AE6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五案聊天记录中均出现“一个月八百”“千分之八”的相同话术</w:t>
            </w:r>
          </w:p>
        </w:tc>
        <w:tc>
          <w:tcPr>
            <w:tcW w:w="5216" w:type="dxa"/>
          </w:tcPr>
          <w:p w14:paraId="350CF0E4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系行业统一话术，五案上线系不同主体，话术相同不构成身份关联</w:t>
            </w:r>
          </w:p>
        </w:tc>
      </w:tr>
      <w:tr w14:paraId="0544E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BCBA1C5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F3</w:t>
            </w:r>
          </w:p>
        </w:tc>
        <w:tc>
          <w:tcPr>
            <w:tcW w:w="3061" w:type="dxa"/>
          </w:tcPr>
          <w:p w14:paraId="0F61D275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五案好处费均由“月酬＋按流水比例提成”两部分构成</w:t>
            </w:r>
          </w:p>
        </w:tc>
        <w:tc>
          <w:tcPr>
            <w:tcW w:w="5216" w:type="dxa"/>
          </w:tcPr>
          <w:p w14:paraId="53974167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系同类犯罪的常见报酬结构，非身份或实体关联</w:t>
            </w:r>
          </w:p>
        </w:tc>
      </w:tr>
      <w:tr w14:paraId="6A6C6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458F852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F4</w:t>
            </w:r>
          </w:p>
        </w:tc>
        <w:tc>
          <w:tcPr>
            <w:tcW w:w="3061" w:type="dxa"/>
          </w:tcPr>
          <w:p w14:paraId="43B63CD7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五案作案手法相同（均提供本人银行卡或卡号及收款码走账）</w:t>
            </w:r>
          </w:p>
        </w:tc>
        <w:tc>
          <w:tcPr>
            <w:tcW w:w="5216" w:type="dxa"/>
          </w:tcPr>
          <w:p w14:paraId="4F2FC6BA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同类犯罪常见模式，非身份或实体关联</w:t>
            </w:r>
          </w:p>
        </w:tc>
      </w:tr>
      <w:tr w14:paraId="068A9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89DFD91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F5</w:t>
            </w:r>
          </w:p>
        </w:tc>
        <w:tc>
          <w:tcPr>
            <w:tcW w:w="3061" w:type="dxa"/>
          </w:tcPr>
          <w:p w14:paraId="20329D03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五案作案时段存在重叠（3月中旬至7月中旬）</w:t>
            </w:r>
          </w:p>
        </w:tc>
        <w:tc>
          <w:tcPr>
            <w:tcW w:w="5216" w:type="dxa"/>
          </w:tcPr>
          <w:p w14:paraId="204159F4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时段重叠仅说明同期多发，不等于同一团伙所为；五案各自结算周期、流水数额、获利数额均不同</w:t>
            </w:r>
          </w:p>
        </w:tc>
      </w:tr>
      <w:tr w14:paraId="132AD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8FFE1CB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F6</w:t>
            </w:r>
          </w:p>
        </w:tc>
        <w:tc>
          <w:tcPr>
            <w:tcW w:w="3061" w:type="dxa"/>
          </w:tcPr>
          <w:p w14:paraId="253EB8FA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五案罪名相同（均为帮信罪）、量刑幅度接近</w:t>
            </w:r>
          </w:p>
        </w:tc>
        <w:tc>
          <w:tcPr>
            <w:tcW w:w="5216" w:type="dxa"/>
          </w:tcPr>
          <w:p w14:paraId="256E67DA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罪名相同、量刑接近均不等于同一案件，属同类案件常见裁判结果</w:t>
            </w:r>
          </w:p>
        </w:tc>
      </w:tr>
      <w:tr w14:paraId="5F076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39C68E8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F7</w:t>
            </w:r>
          </w:p>
        </w:tc>
        <w:tc>
          <w:tcPr>
            <w:tcW w:w="3061" w:type="dxa"/>
          </w:tcPr>
          <w:p w14:paraId="296B20D2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五案非法获利数额接近（6400／6240／5600／4560／5440元）</w:t>
            </w:r>
          </w:p>
        </w:tc>
        <w:tc>
          <w:tcPr>
            <w:tcW w:w="5216" w:type="dxa"/>
          </w:tcPr>
          <w:p w14:paraId="7F7D1CC8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五案走账流水与用卡时长本就相近，按同一计价基准计算后获利自然接近，系计价规则趋同的结果而非同一性的证明</w:t>
            </w:r>
          </w:p>
        </w:tc>
      </w:tr>
      <w:tr w14:paraId="5AB62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A8B6A7C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F8</w:t>
            </w:r>
          </w:p>
        </w:tc>
        <w:tc>
          <w:tcPr>
            <w:tcW w:w="3061" w:type="dxa"/>
          </w:tcPr>
          <w:p w14:paraId="3CA6F6B1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五案均按“结算月”对账、由上线按月打款</w:t>
            </w:r>
          </w:p>
        </w:tc>
        <w:tc>
          <w:tcPr>
            <w:tcW w:w="5216" w:type="dxa"/>
          </w:tcPr>
          <w:p w14:paraId="04169027">
            <w:pPr>
              <w:spacing w:before="20" w:after="2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按月结算系该类犯罪通行的对账习惯，五案结算周期、打款日期、支付方式各不相同，不构成同一性认定依据</w:t>
            </w:r>
          </w:p>
        </w:tc>
      </w:tr>
    </w:tbl>
    <w:p w14:paraId="7213828C">
      <w:pPr>
        <w:spacing w:before="0" w:after="0" w:line="560" w:lineRule="exact"/>
        <w:jc w:val="both"/>
      </w:pPr>
    </w:p>
    <w:p w14:paraId="531DA4A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问题四 · 是否存在同名不同人、别名归并？</w:t>
      </w:r>
    </w:p>
    <w:p w14:paraId="006A266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① 同名不同人：否。五案被告人实名分别为周立恒、吴敬明、郑海鹏、孙兆坤、黄振宇，身份证、手机、户籍等要素互不相同，不存在同名情形。</w:t>
      </w:r>
    </w:p>
    <w:p w14:paraId="2AF2DDB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② 别名／绰号归并：否。五案上线分别称“老K”（微信昵称“K”）、“阿豹”（微信昵称“豹子头”）、“大飞”（微信昵称“飞”）、“虎哥”（微信昵称“虎哥”）、“九哥”（微信昵称“九”），系五个不同对象的各自称呼，不存在同一主体的不同称呼，亦不存在跨案归并需求。</w:t>
      </w:r>
    </w:p>
    <w:p w14:paraId="6203D5A7">
      <w:bookmarkStart w:id="0" w:name="_GoBack"/>
      <w:bookmarkEnd w:id="0"/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CE219C7"/>
    <w:rsid w:val="4E566916"/>
    <w:rsid w:val="583A2ADF"/>
    <w:rsid w:val="6F3569E5"/>
    <w:rsid w:val="75B40320"/>
    <w:rsid w:val="7B015F3E"/>
    <w:rsid w:val="7FB5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594</Words>
  <Characters>642</Characters>
  <Lines>0</Lines>
  <Paragraphs>0</Paragraphs>
  <TotalTime>0</TotalTime>
  <ScaleCrop>false</ScaleCrop>
  <LinksUpToDate>false</LinksUpToDate>
  <CharactersWithSpaces>648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