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45BE0">
      <w:pPr>
        <w:spacing w:before="0" w:after="0" w:line="560" w:lineRule="exact"/>
        <w:ind w:firstLine="640"/>
        <w:jc w:val="both"/>
        <w:rPr>
          <w:sz w:val="24"/>
          <w:szCs w:val="20"/>
        </w:rPr>
      </w:pPr>
      <w:bookmarkStart w:id="0" w:name="_GoBack"/>
      <w:r>
        <w:rPr>
          <w:rFonts w:ascii="Times New Roman" w:hAnsi="Times New Roman" w:eastAsia="仿宋_GB2312"/>
          <w:b w:val="0"/>
          <w:sz w:val="24"/>
          <w:szCs w:val="20"/>
        </w:rPr>
        <w:t>受被告人吴敬明家属委托并承厦门市湖里区法律援助中心指派，本人担任被告人吴敬明涉嫌帮助信息网络犯罪活动罪一案的辩护人。经查阅案卷、会见被告人并参与庭审，现发表如下辩护意见，供合议庭参考：</w:t>
      </w:r>
    </w:p>
    <w:p w14:paraId="51A55762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一、被告人吴敬明系从犯，在共同犯罪中起次要、辅助作用，依法应当从轻、减轻处罚。</w:t>
      </w:r>
    </w:p>
    <w:p w14:paraId="4002B91F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吴敬明未参与任何资金的组织、调度与转出操作，其提供的是本人一张银行卡的卡号及收款码，对上游犯罪的实施方式、资金去向均无认知与控制能力，仅处于被支配的末端环节，依法应认定为从犯。</w:t>
      </w:r>
    </w:p>
    <w:p w14:paraId="23A3F0F7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二、被告人经电话通知后主动到案并如实供述，构成自首，且自愿认罪认罚，到案后积极配合查证。</w:t>
      </w:r>
    </w:p>
    <w:p w14:paraId="7A9CBD97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吴敬明接到民警电话后未逃避、未毁证，自行到案并完整交代事实，主动解锁手机供侦查机关提取电子数据，还如实提供了工友“老杨”的联系方式及对方“阿豹”的微信账号，为查清上线身份提供了实质帮助，依法可以从宽处罚。</w:t>
      </w:r>
    </w:p>
    <w:p w14:paraId="0E4DFAC2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三、被告人系因生活所迫、受高额报酬诱导而参与，主观恶性及社会危害性相对较小。</w:t>
      </w:r>
    </w:p>
    <w:p w14:paraId="0E8DAACE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吴敬明此前无违法犯罪记录，参与动机系偿还网贷欠款，而非主动寻求非法获利；其银行卡实体始终未脱离本人控制，未获取除约定报酬外的额外利益，非法获利6240元，案发后主动表示愿意全额退缴，再犯可能性低。</w:t>
      </w:r>
    </w:p>
    <w:p w14:paraId="7CCC9DC4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黑体"/>
          <w:b w:val="0"/>
          <w:sz w:val="24"/>
          <w:szCs w:val="20"/>
        </w:rPr>
        <w:t>四、被告人是家庭唯一经济来源，父母年迈多病需要赡养，适用缓刑不致再危害社会。</w:t>
      </w:r>
    </w:p>
    <w:p w14:paraId="6489A313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吴敬明父母均年逾六旬、无固定收入，其本人有固定住所与稳定工作，所在社区愿意协助监管。恳请合议庭综合其从犯、自首、认罪认罚、退缴意愿等情节，依法从轻处罚并适用缓刑。</w:t>
      </w:r>
    </w:p>
    <w:p w14:paraId="2A295019">
      <w:pPr>
        <w:spacing w:before="0" w:after="0" w:line="560" w:lineRule="exact"/>
        <w:ind w:firstLine="640"/>
        <w:jc w:val="both"/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以上意见，请予采纳。</w:t>
      </w:r>
    </w:p>
    <w:p w14:paraId="57918C10">
      <w:pPr>
        <w:rPr>
          <w:sz w:val="24"/>
          <w:szCs w:val="20"/>
        </w:rPr>
      </w:pPr>
      <w:r>
        <w:rPr>
          <w:rFonts w:ascii="Times New Roman" w:hAnsi="Times New Roman" w:eastAsia="仿宋_GB2312"/>
          <w:b w:val="0"/>
          <w:sz w:val="24"/>
          <w:szCs w:val="20"/>
        </w:rPr>
        <w:t>辩护人：</w:t>
      </w:r>
      <w:r>
        <w:rPr>
          <w:rFonts w:hint="eastAsia"/>
          <w:b w:val="0"/>
          <w:sz w:val="24"/>
          <w:szCs w:val="20"/>
          <w:lang w:val="en-US" w:eastAsia="zh-CN"/>
        </w:rPr>
        <w:t>林烨</w:t>
      </w:r>
      <w:r>
        <w:rPr>
          <w:rFonts w:ascii="Times New Roman" w:hAnsi="Times New Roman" w:eastAsia="仿宋_GB2312"/>
          <w:b w:val="0"/>
          <w:sz w:val="24"/>
          <w:szCs w:val="20"/>
        </w:rPr>
        <w:t xml:space="preserve">    日期：2025年8月25日（教学虚构）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1A56F59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