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617AA">
      <w:pPr>
        <w:spacing w:before="200" w:after="200" w:line="600" w:lineRule="exact"/>
        <w:jc w:val="center"/>
        <w:rPr>
          <w:sz w:val="24"/>
          <w:szCs w:val="20"/>
        </w:rPr>
      </w:pPr>
      <w:bookmarkStart w:id="0" w:name="_GoBack"/>
      <w:r>
        <w:rPr>
          <w:rFonts w:ascii="Times New Roman" w:hAnsi="Times New Roman" w:eastAsia="黑体"/>
          <w:b w:val="0"/>
          <w:sz w:val="24"/>
          <w:szCs w:val="20"/>
        </w:rPr>
        <w:t>郑海鹏涉嫌帮助信息网络犯罪活动罪案 · 辩护词</w:t>
      </w:r>
    </w:p>
    <w:p w14:paraId="75F4ABF5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受被告人郑海鹏家属委托并承沈阳市铁西区法律援助中心指派，本人担任被告人郑海鹏涉嫌帮助信息网络犯罪活动罪一案的辩护人。经查阅案卷、会见被告人并参与庭审，现发表如下辩护意见，供合议庭参考：</w:t>
      </w:r>
    </w:p>
    <w:p w14:paraId="53684E9C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黑体"/>
          <w:b w:val="0"/>
          <w:sz w:val="24"/>
          <w:szCs w:val="20"/>
        </w:rPr>
        <w:t>一、被告人郑海鹏系从犯，依法应当从轻、减轻处罚。</w:t>
      </w:r>
    </w:p>
    <w:p w14:paraId="098B01C6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郑海鹏既未参与上游犯罪的组织、策划，也未参与资金的转入转出操作，其仅依上线“大飞”要求出借本人一张银行卡及收款码，对资金性质、流转路径均无从知晓与控制，地位从属、作用次要。</w:t>
      </w:r>
    </w:p>
    <w:p w14:paraId="4FEF9366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黑体"/>
          <w:b w:val="0"/>
          <w:sz w:val="24"/>
          <w:szCs w:val="20"/>
        </w:rPr>
        <w:t>二、被告人经电话通知后主动到案，如实供述，构成自首，且自愿认罪认罚。</w:t>
      </w:r>
    </w:p>
    <w:p w14:paraId="51882613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郑海鹏接到民警电话后自行到案，如实交代全部事实并主动交出涉案银行卡，依法构成自首；其当庭自愿认罪认罚，悔罪态度诚恳，依法可以从宽处罚。</w:t>
      </w:r>
    </w:p>
    <w:p w14:paraId="1188C003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黑体"/>
          <w:b w:val="0"/>
          <w:sz w:val="24"/>
          <w:szCs w:val="20"/>
        </w:rPr>
        <w:t>三、被告人主动交出涉案银行卡并配合辨认上线，避免了危害后果的进一步扩大。</w:t>
      </w:r>
    </w:p>
    <w:p w14:paraId="11143043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涉案银行卡系被告人到案后主动交出，使侦查机关及时冻结账户、固定交易明细；其还依法辨认出上线“大飞”，为追查上游犯罪提供了实质帮助，体现其真诚悔罪、积极配合的态度，恳请合议庭在量刑时予以充分体现。</w:t>
      </w:r>
    </w:p>
    <w:p w14:paraId="545373D8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黑体"/>
          <w:b w:val="0"/>
          <w:sz w:val="24"/>
          <w:szCs w:val="20"/>
        </w:rPr>
        <w:t>四、被告人系初犯、偶犯，系个体工商户经营者，有固定经营场所，适用缓刑不致再危害社会。</w:t>
      </w:r>
    </w:p>
    <w:p w14:paraId="548F8401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郑海鹏此前无违法犯罪记录，系守法经营多年的个体经营者，其店铺系家庭主要生活来源，所在社区同意协助监管。恳请合议庭综合其从犯、自首、认罪认罚、配合查证、退缴意愿等情节，依法从轻处罚并适用缓刑。</w:t>
      </w:r>
    </w:p>
    <w:p w14:paraId="23ABDB03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以上意见，请予采纳。</w:t>
      </w:r>
    </w:p>
    <w:p w14:paraId="2B71DAE8">
      <w:pPr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辩护人：    日期：2025年9月12日（教学虚构）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94E049F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