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FFFDC">
      <w:pPr>
        <w:spacing w:before="200" w:after="200" w:line="600" w:lineRule="exact"/>
        <w:jc w:val="center"/>
      </w:pPr>
      <w:r>
        <w:rPr>
          <w:rFonts w:ascii="Times New Roman" w:hAnsi="Times New Roman" w:eastAsia="黑体"/>
          <w:b w:val="0"/>
          <w:sz w:val="32"/>
        </w:rPr>
        <w:t>黄振宇涉嫌帮助信息网络犯罪活动罪案 · 辩护词</w:t>
      </w:r>
    </w:p>
    <w:p w14:paraId="2C5973F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受被告人黄振宇家属委托并承成都市武侯区法律援助中心指派，本人担任被告人黄振宇涉嫌帮助信息网络犯罪活动罪一案的辩护人。经查阅案卷、会见被告人并参与庭审，现发表如下辩护意见，供合议庭参考：</w:t>
      </w:r>
    </w:p>
    <w:p w14:paraId="4CEED2E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一、被告人黄振宇系从犯，依法应当从轻、减轻处罚。</w:t>
      </w:r>
    </w:p>
    <w:p w14:paraId="62AFE43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黄振宇未参与上游犯罪的组织与实施，仅提供本人银行卡卡号、收款码并转发验证码，对资金来源、去向均不知情，未参与任何转出操作，在整个链条中处于被利用的末端地位。</w:t>
      </w:r>
    </w:p>
    <w:p w14:paraId="783D691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二、被告人经电话通知后主动到案，如实供述，构成自首。</w:t>
      </w:r>
    </w:p>
    <w:p w14:paraId="765AEB5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黄振宇接到民警电话后即自行到案，到案后如实交代主要事实，虽曾删除部分聊天记录，但在侦查人员出示恢复数据后即予认可，未再隐瞒，不影响自首的成立。</w:t>
      </w:r>
    </w:p>
    <w:p w14:paraId="54A4D21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以上意见，请予采纳。</w:t>
      </w:r>
    </w:p>
    <w:p w14:paraId="4C848688">
      <w:r>
        <w:rPr>
          <w:rFonts w:ascii="Times New Roman" w:hAnsi="Times New Roman" w:eastAsia="仿宋_GB2312"/>
          <w:b w:val="0"/>
          <w:sz w:val="32"/>
        </w:rPr>
        <w:t>辩护人：    日期：2025年9月5日（教学虚构）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B015F3E"/>
    <w:rsid w:val="7CAF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