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1357F">
      <w:pPr>
        <w:spacing w:before="200" w:after="120"/>
        <w:jc w:val="left"/>
      </w:pPr>
      <w:r>
        <w:rPr>
          <w:rFonts w:ascii="Times New Roman" w:hAnsi="Times New Roman" w:eastAsia="黑体" w:cs="Times New Roman"/>
          <w:b/>
          <w:bCs/>
          <w:sz w:val="26"/>
          <w:szCs w:val="26"/>
        </w:rPr>
        <w:t>四、四个问题</w:t>
      </w:r>
    </w:p>
    <w:p w14:paraId="6CE18214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问题一·应发现的跨案关联是什么？</w:t>
      </w:r>
    </w:p>
    <w:p w14:paraId="64A8B313">
      <w:pPr>
        <w:pStyle w:val="3"/>
        <w:keepNext w:val="0"/>
        <w:keepLines w:val="0"/>
        <w:widowControl/>
        <w:suppressLineNumbers w:val="0"/>
      </w:pPr>
      <w:r>
        <w:t>答：四案均构成关联，两层锚点——图片是</w:t>
      </w:r>
      <w:r>
        <w:rPr>
          <w:rStyle w:val="7"/>
        </w:rPr>
        <w:t>同一张</w:t>
      </w:r>
      <w:r>
        <w:t>（哈希一致、素材编号同为 POSTER-023-01），联系电话是</w:t>
      </w:r>
      <w:r>
        <w:rPr>
          <w:rStyle w:val="7"/>
        </w:rPr>
        <w:t>同一个</w:t>
      </w:r>
      <w:r>
        <w:t>​ 13866196690，实名机主蒋立群尚未归案。邵立案与沈嘉案另有客服微信号直接重合，关联最硬。</w:t>
      </w:r>
    </w:p>
    <w:p w14:paraId="2B4AFD11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问题二·关联对应的原文出处？</w:t>
      </w:r>
    </w:p>
    <w:p w14:paraId="2BAFFD8E">
      <w:pPr>
        <w:pStyle w:val="3"/>
        <w:keepNext w:val="0"/>
        <w:keepLines w:val="0"/>
        <w:widowControl/>
        <w:suppressLineNumbers w:val="0"/>
      </w:pPr>
      <w:r>
        <w:t>14 行比对表（比对项／四案列／结论），比模板更细。前半部分是</w:t>
      </w:r>
      <w:r>
        <w:rPr>
          <w:rStyle w:val="7"/>
        </w:rPr>
        <w:t>锚点</w:t>
      </w:r>
      <w:r>
        <w:t>（图片哈希、素材编号、联系电话、话单、客服确认、实名机主——全部"重合"）；中间是</w:t>
      </w:r>
      <w:r>
        <w:rPr>
          <w:rStyle w:val="7"/>
        </w:rPr>
        <w:t>部分重合</w:t>
      </w:r>
      <w:r>
        <w:t>（承接客服微信号，邵立沈嘉两案重合）；后半部分是</w:t>
      </w:r>
      <w:r>
        <w:rPr>
          <w:rStyle w:val="7"/>
        </w:rPr>
        <w:t>明示不重合</w:t>
      </w:r>
      <w:r>
        <w:t>的项（被告人实名、身份证、手机号、银行卡、引流途径、结算方式），逐项标注"不构成关联依据"，方便核验时区分"真锚点"和"无关项"。</w:t>
      </w:r>
    </w:p>
    <w:p w14:paraId="23370C68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问题三·哪些是假关联（干扰特征）？</w:t>
      </w:r>
    </w:p>
    <w:p w14:paraId="5933E204">
      <w:pPr>
        <w:pStyle w:val="3"/>
        <w:keepNext w:val="0"/>
        <w:keepLines w:val="0"/>
        <w:widowControl/>
        <w:suppressLineNumbers w:val="0"/>
      </w:pPr>
      <w:r>
        <w:t>F1–F7 表格，沿用模板的"编号／干扰维度／为何为假"结构：同案由、招募话术雷同、标识同类、交付方式雷同、时段接近、获利金额量级相近、被告人身份画像相近。</w:t>
      </w:r>
    </w:p>
    <w:p w14:paraId="08672A37">
      <w:pPr>
        <w:pStyle w:val="3"/>
        <w:keepNext w:val="0"/>
        <w:keepLines w:val="0"/>
        <w:widowControl/>
        <w:suppressLineNumbers w:val="0"/>
      </w:pPr>
      <w:r>
        <w:t>另外补了一段</w:t>
      </w:r>
      <w:r>
        <w:rPr>
          <w:rStyle w:val="7"/>
        </w:rPr>
        <w:t>反向干扰</w:t>
      </w:r>
      <w:r>
        <w:t>说明——这是本组特别的地方：客服微信号不同（8815/8837/8826）、引流平台分散，这些看着像"不关联"，实则是同一团伙多号多渠道运作，不能用来推翻关联。</w:t>
      </w:r>
    </w:p>
    <w:p w14:paraId="4B19049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问题四·是否存在同名不同人、别名？</w:t>
      </w:r>
    </w:p>
    <w:p w14:paraId="00E7F2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 xml:space="preserve">①同名不同人：否。四名被告人身份证、手机、户籍、单位、账户五项要素互不相同，四地办案人员也各不相同。 </w:t>
      </w:r>
    </w:p>
    <w:p w14:paraId="13188C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②别名归并：</w:t>
      </w:r>
      <w:r>
        <w:rPr>
          <w:rStyle w:val="7"/>
        </w:rPr>
        <w:t>部分存在</w:t>
      </w:r>
      <w:r>
        <w:t xml:space="preserve">——邵立案与沈嘉案的"小林"微信号完全相同，系同一对象应予归并；"老徐""阿杰"是不同客服号，无证据归并，但同属"速通代付-××"体系。 </w:t>
      </w:r>
    </w:p>
    <w:p w14:paraId="31AE4D8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CE219C7"/>
    <w:rsid w:val="4E566916"/>
    <w:rsid w:val="6F3569E5"/>
    <w:rsid w:val="75B40320"/>
    <w:rsid w:val="7B015F3E"/>
    <w:rsid w:val="7FB5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631</Words>
  <Characters>741</Characters>
  <Lines>0</Lines>
  <Paragraphs>0</Paragraphs>
  <TotalTime>0</TotalTime>
  <ScaleCrop>false</ScaleCrop>
  <LinksUpToDate>false</LinksUpToDate>
  <CharactersWithSpaces>751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