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D07B6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代理词</w:t>
      </w:r>
    </w:p>
    <w:p w14:paraId="615E7520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1.被告人沈嘉系从犯，依法应当从轻、减轻处罚。</w:t>
      </w:r>
      <w:r>
        <w:rPr>
          <w:rFonts w:ascii="Times New Roman" w:hAnsi="Times New Roman" w:eastAsia="宋体" w:cs="Times New Roman"/>
          <w:sz w:val="24"/>
          <w:szCs w:val="24"/>
        </w:rPr>
        <w:t>沈嘉仅出借本人一张银行卡及收款码，未参与任何资金的归集、划转与结算，对走账对象、用途、频次均无从掌握，其在本案中的作用仅限于提供支付工具，地位边缘。</w:t>
      </w:r>
    </w:p>
    <w:p w14:paraId="756A029E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2.被告人系自首，且认罪悔罪态度真诚。</w:t>
      </w:r>
      <w:r>
        <w:rPr>
          <w:rFonts w:ascii="Times New Roman" w:hAnsi="Times New Roman" w:eastAsia="宋体" w:cs="Times New Roman"/>
          <w:sz w:val="24"/>
          <w:szCs w:val="24"/>
        </w:rPr>
        <w:t>本案中公安机关电话通知时仅是核实账户情况，并未掌握沈嘉出借账户的具体事实，沈嘉到案后即主动、完整供述，并主动交出手机配合提取聊天记录与图片，为查明案情提供了关键证据，依法应当认定为自首。</w:t>
      </w:r>
    </w:p>
    <w:p w14:paraId="4A5F68E0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3.被告人犯罪动机特殊，主观恶性和人身危险性均较小。</w:t>
      </w:r>
      <w:r>
        <w:rPr>
          <w:rFonts w:ascii="Times New Roman" w:hAnsi="Times New Roman" w:eastAsia="宋体" w:cs="Times New Roman"/>
          <w:sz w:val="24"/>
          <w:szCs w:val="24"/>
        </w:rPr>
        <w:t>沈嘉系个体工商户，因店铺经营困难、资金周转压力而一时失足，其获利4440元全部用于店铺进货与房租，并非用于个人挥霍，与以牟利为目的的职业化“卡农”有显著区别。案发后其已全额退缴违法所得。</w:t>
      </w:r>
    </w:p>
    <w:p w14:paraId="1A8FAD56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4.被告人系初犯、偶犯，具备有效监管条件。</w:t>
      </w:r>
      <w:r>
        <w:rPr>
          <w:rFonts w:ascii="Times New Roman" w:hAnsi="Times New Roman" w:eastAsia="宋体" w:cs="Times New Roman"/>
          <w:sz w:val="24"/>
          <w:szCs w:val="24"/>
        </w:rPr>
        <w:t>沈嘉此前无任何违法犯罪记录，在本地经营实体店铺、有固定住所与稳定收入来源，所在社区愿意协助监管，适用缓刑不致再危害社会。恳请合议庭综合考虑其从犯、自首、认罪认罚、退赃、初犯偶犯等情节，对其从轻处罚并适用缓刑。</w:t>
      </w:r>
    </w:p>
    <w:p w14:paraId="2EEB4E49">
      <w:pPr>
        <w:spacing w:before="20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辩护人：崔文博　　2025年10月17日（教学虚构）</w:t>
      </w:r>
    </w:p>
    <w:p w14:paraId="3155561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3A3A2126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