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7F267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G004 系统检测要点</w:t>
      </w:r>
    </w:p>
    <w:p w14:paraId="357CFB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1.</w:t>
      </w:r>
      <w:r>
        <w:rPr>
          <w:rFonts w:hint="default"/>
          <w:lang w:val="en-US" w:eastAsia="zh-CN"/>
        </w:rPr>
        <w:t>应在A案和B案中识别侯博元的实体统一性（姓名、出生地、年龄等要素匹配）</w:t>
      </w:r>
    </w:p>
    <w:p w14:paraId="0A51B5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2.</w:t>
      </w:r>
      <w:r>
        <w:rPr>
          <w:rFonts w:hint="default"/>
          <w:lang w:val="en-US" w:eastAsia="zh-CN"/>
        </w:rPr>
        <w:t>应在行为对比中识别侯博元从“卡农”到“卡头”的角色演变</w:t>
      </w:r>
    </w:p>
    <w:p w14:paraId="240BEC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3.</w:t>
      </w:r>
      <w:r>
        <w:rPr>
          <w:rFonts w:hint="default"/>
          <w:lang w:val="en-US" w:eastAsia="zh-CN"/>
        </w:rPr>
        <w:t>应追踪侯博元的获利规模变化（2万 → 12万新台币）</w:t>
      </w:r>
    </w:p>
    <w:p w14:paraId="78EA17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4.</w:t>
      </w:r>
      <w:r>
        <w:rPr>
          <w:rFonts w:hint="default"/>
          <w:lang w:val="en-US" w:eastAsia="zh-CN"/>
        </w:rPr>
        <w:t>应识别宋哥在两案中作为同一上线实体</w:t>
      </w:r>
    </w:p>
    <w:p w14:paraId="365BF8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5.</w:t>
      </w:r>
      <w:r>
        <w:rPr>
          <w:rFonts w:hint="default"/>
          <w:lang w:val="en-US" w:eastAsia="zh-CN"/>
        </w:rPr>
        <w:t>应构建侯博元的“犯罪成员演变时间线”——从普通参与者到组织者的演变轨迹</w:t>
      </w:r>
    </w:p>
    <w:p w14:paraId="0835A9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5C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2026-08-20T03:38:59Z</dcterms:created>
  <dc:creator>27355</dc:creator>
  <cp:lastModifiedBy>27355</cp:lastModifiedBy>
  <dcterms:modified xsi:type="dcterms:W3CDTF">2026-08-20T03:39:10Z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CFC04EFC2AFB432AA11778F439F0F468_12</vt:lpwstr>
  </property>
</Properties>
</file>