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362AC0">
      <w:pPr>
        <w:jc w:val="center"/>
        <w:rPr>
          <w:rFonts w:hint="eastAsia"/>
        </w:rPr>
      </w:pPr>
      <w:r>
        <w:rPr>
          <w:rFonts w:hint="eastAsia"/>
        </w:rPr>
        <w:tab/>
      </w:r>
      <w:bookmarkStart w:id="0" w:name="_GoBack"/>
      <w:bookmarkEnd w:id="0"/>
      <w:r>
        <w:rPr>
          <w:rFonts w:hint="eastAsia"/>
        </w:rPr>
        <w:t>湖北省荆州市中级人民法院</w:t>
      </w:r>
    </w:p>
    <w:p w14:paraId="7B80C6E1">
      <w:pPr>
        <w:jc w:val="center"/>
        <w:rPr>
          <w:rFonts w:hint="eastAsia"/>
        </w:rPr>
      </w:pPr>
      <w:r>
        <w:rPr>
          <w:rFonts w:hint="eastAsia"/>
        </w:rPr>
        <w:t>刑 事 裁 定 书</w:t>
      </w:r>
    </w:p>
    <w:p w14:paraId="1DDBB294">
      <w:pPr>
        <w:jc w:val="center"/>
        <w:rPr>
          <w:rFonts w:hint="eastAsia"/>
        </w:rPr>
      </w:pPr>
      <w:r>
        <w:rPr>
          <w:rFonts w:hint="eastAsia"/>
        </w:rPr>
        <w:t>（2024）鄂10刑终67号</w:t>
      </w:r>
    </w:p>
    <w:p w14:paraId="2BA22FE6">
      <w:pPr>
        <w:ind w:firstLine="420" w:firstLineChars="200"/>
        <w:rPr>
          <w:rFonts w:hint="eastAsia"/>
        </w:rPr>
      </w:pPr>
      <w:r>
        <w:rPr>
          <w:rFonts w:hint="eastAsia"/>
        </w:rPr>
        <w:t>原公诉机关荆州市沙市区人民检察院。</w:t>
      </w:r>
    </w:p>
    <w:p w14:paraId="2F00A04B">
      <w:pPr>
        <w:ind w:firstLine="420" w:firstLineChars="200"/>
        <w:rPr>
          <w:rFonts w:hint="eastAsia"/>
        </w:rPr>
      </w:pPr>
      <w:r>
        <w:rPr>
          <w:rFonts w:hint="eastAsia"/>
        </w:rPr>
        <w:t>上诉人（原审被告人）官某。</w:t>
      </w:r>
    </w:p>
    <w:p w14:paraId="1E59D13B">
      <w:pPr>
        <w:ind w:firstLine="420" w:firstLineChars="200"/>
        <w:rPr>
          <w:rFonts w:hint="eastAsia"/>
        </w:rPr>
      </w:pPr>
      <w:r>
        <w:rPr>
          <w:rFonts w:hint="eastAsia"/>
        </w:rPr>
        <w:t>上诉人（原审被告人）刘某。</w:t>
      </w:r>
    </w:p>
    <w:p w14:paraId="190E90FF">
      <w:pPr>
        <w:ind w:firstLine="420" w:firstLineChars="200"/>
        <w:rPr>
          <w:rFonts w:hint="eastAsia"/>
        </w:rPr>
      </w:pPr>
      <w:r>
        <w:rPr>
          <w:rFonts w:hint="eastAsia"/>
        </w:rPr>
        <w:t>荆州市沙市区人民法院审理荆州市沙市区人民检察院指控原审被告人官某、刘某犯帮助信息网络犯罪活动罪一案，于2023年12月21日作出（2023）鄂1002刑初551号刑事判决。宣判后，原公诉机关未提出抗诉，原审被告人官某、刘某不服判决，提出上诉。本院受理后，依法组成合议庭，于2024年3月21日开庭审理了本案，荆州市人民检察院指派检察员张士红出庭履行职务，上诉人官某、刘某到庭参加诉讼。本案经合议庭评议，现已审理终结。</w:t>
      </w:r>
    </w:p>
    <w:p w14:paraId="007FC47D">
      <w:pPr>
        <w:ind w:firstLine="420" w:firstLineChars="200"/>
        <w:rPr>
          <w:rFonts w:hint="eastAsia"/>
        </w:rPr>
      </w:pPr>
      <w:r>
        <w:rPr>
          <w:rFonts w:hint="eastAsia"/>
        </w:rPr>
        <w:t>原审判决认定：2022年2月至3月期间，被告人官某、刘某利用信息网络实施犯罪，为从中谋利，被告人官某将本人名下湖北某某社银行卡、某某银行卡、中国某某银行卡，被告人刘某将本人名下湖北某某社银行卡、交通银行卡出租给李某进行违法犯罪活动转账（俗称“跑分”）。两被告人用于“跑分”的银行卡被冻结后，根据李某的要求由李某报销来往费用前往上海市办理其他银行卡用于“跑分”，被告人官某办理了上海银行卡、泰隆银行卡，被告人刘某办理南京银行卡、上海银行卡继续用于“跑分”。被告人官某共计获利8000元（单位人民币，下同），被告人刘某共计获利8500元。</w:t>
      </w:r>
    </w:p>
    <w:p w14:paraId="6A1476C1">
      <w:pPr>
        <w:ind w:firstLine="420" w:firstLineChars="200"/>
        <w:rPr>
          <w:rFonts w:hint="eastAsia"/>
        </w:rPr>
      </w:pPr>
      <w:r>
        <w:rPr>
          <w:rFonts w:hint="eastAsia"/>
        </w:rPr>
        <w:t>经公安部电信网络诈骗平台查询，被告人官某卡号为银行卡在2022年2月23日期间转入资金34.3431万元，转出资金35.35686万元，其中包括俞某等3人因被诈骗转入资金共计4.98万元；上海银行卡在2022年3月10日至3月15日期间转入资金7.867401万元，转出资金7.867106万元，其中包括安某等3人因被诈骗转入资金共计5187元；泰隆银行卡在2022年3月13日期间转入资金1.9431万元，转出资金1.4395万元，其中包括黄某等4人因被诈骗转入资金6898元；中国工商银行卡在2023年3月2日期间转入资金7.98182万元，转出资金7.867106万元，其中包括葛德宏等7人因被诈骗转入资金1.2902万元；中国邮政储蓄银行卡在2022年2月26日期间转入资金5.0103万元，转出资金4.990108万元，其中包括孟某因被诈骗转入资金2万元。</w:t>
      </w:r>
    </w:p>
    <w:p w14:paraId="1607C519">
      <w:pPr>
        <w:ind w:firstLine="420" w:firstLineChars="200"/>
        <w:rPr>
          <w:rFonts w:hint="eastAsia"/>
        </w:rPr>
      </w:pPr>
      <w:r>
        <w:rPr>
          <w:rFonts w:hint="eastAsia"/>
        </w:rPr>
        <w:t>被告人刘某名下湖北农村信用社银行卡在2022年3月19日至20日期间转入资金13.728642万元，转出资金13.7264万元，其中包括朱某等8人因被诈骗转入资金9.0034万元；交通银行卡在2022年2月28日转入资金17.32198万元，转出资金14.78065万元，其中包括高某因被诈骗转入资金2888元；名下上海银行卡在2023年3月11日至12日期间转入资金17.304542万元，转出资金17.30415万元，其中包括齐某等13人因被诈骗转入资金3.6756万元；名下南京银行卡在2023年3月10日至12日期间转入资金9.26829万元，转出资金9.268101万元，其中包括黄某等6人因被诈骗转入资金6446元。</w:t>
      </w:r>
    </w:p>
    <w:p w14:paraId="12C90F51">
      <w:pPr>
        <w:ind w:firstLine="420" w:firstLineChars="200"/>
        <w:rPr>
          <w:rFonts w:hint="eastAsia"/>
        </w:rPr>
      </w:pPr>
      <w:r>
        <w:rPr>
          <w:rFonts w:hint="eastAsia"/>
        </w:rPr>
        <w:t>原判还查明，被告人官某、刘某案发后向荆州市公安局沙市区分局分别退缴全部违法所得人民币8000元、8500元。</w:t>
      </w:r>
    </w:p>
    <w:p w14:paraId="4FECA1B8">
      <w:pPr>
        <w:ind w:firstLine="420" w:firstLineChars="200"/>
        <w:rPr>
          <w:rFonts w:hint="eastAsia"/>
        </w:rPr>
      </w:pPr>
      <w:r>
        <w:rPr>
          <w:rFonts w:hint="eastAsia"/>
        </w:rPr>
        <w:t>上述事实有下列经原审庭审举证、质证的证据予以证实：</w:t>
      </w:r>
    </w:p>
    <w:p w14:paraId="6ADBDF45">
      <w:pPr>
        <w:rPr>
          <w:rFonts w:hint="eastAsia"/>
        </w:rPr>
      </w:pPr>
      <w:r>
        <w:rPr>
          <w:rFonts w:hint="eastAsia"/>
        </w:rPr>
        <w:t>受案登记表、立案决定书，到案经过，被告人的身份证明材料，违法犯罪记录证明材料，国家反诈大数据平台查询结果，银行卡流水，支付宝交易记录，被告人轨迹信息，扣押决定书、扣押清单、扣押笔录，暂扣款票据，证人童某的证言，被害人俞某、安某、黄某等人的报案及陈述材料，被告人的供述和认罪认罚具结书等证据。</w:t>
      </w:r>
    </w:p>
    <w:p w14:paraId="4BA6CBEE">
      <w:pPr>
        <w:ind w:firstLine="420" w:firstLineChars="200"/>
        <w:rPr>
          <w:rFonts w:hint="eastAsia"/>
        </w:rPr>
      </w:pPr>
      <w:r>
        <w:rPr>
          <w:rFonts w:hint="eastAsia"/>
        </w:rPr>
        <w:t>原审法院认为，被告人官某、刘某明知他人利用信息网络实施犯罪，仍通过出借银行卡的方式为其提供支付结算帮助，情节严重，公诉机关指控二被告人犯帮助信息网络犯罪活动罪罪名成立，应予惩处。被告人官某、刘某到案后如实供述犯罪事实，自愿认罪认罚，依法可以从轻处罚。被告人官某、刘某案发后退缴全部违法所得，酌情可以从轻处罚。依照《中华人民共和国刑法》第二百八十七条之二第一款、第五十二条、第五十三条、第六十七条第三款、第六十四条，《最高人民法院、最高人民检察院关于办理非法利用信息网络、帮助信息网络犯罪活动等刑事案件适用法律若干问题的解释》第十二条，《中华人民共和国刑事诉讼法》第十五条、第二百零一条的规定，判决如下：</w:t>
      </w:r>
    </w:p>
    <w:p w14:paraId="48FB0E77">
      <w:pPr>
        <w:rPr>
          <w:rFonts w:hint="eastAsia"/>
        </w:rPr>
      </w:pPr>
      <w:r>
        <w:rPr>
          <w:rFonts w:hint="eastAsia"/>
        </w:rPr>
        <w:t>一、被告人官某犯帮助信息网络犯罪活动罪，判处有期徒刑八个月，并处罚金人民币五千元。</w:t>
      </w:r>
    </w:p>
    <w:p w14:paraId="34EB42FA">
      <w:pPr>
        <w:rPr>
          <w:rFonts w:hint="eastAsia"/>
        </w:rPr>
      </w:pPr>
      <w:r>
        <w:rPr>
          <w:rFonts w:hint="eastAsia"/>
        </w:rPr>
        <w:t>二、被告人刘某犯帮助信息网络犯罪活动罪，判处有期徒刑八个月，并处罚金人民币五千元。</w:t>
      </w:r>
    </w:p>
    <w:p w14:paraId="297FB23B">
      <w:pPr>
        <w:rPr>
          <w:rFonts w:hint="eastAsia"/>
        </w:rPr>
      </w:pPr>
      <w:r>
        <w:rPr>
          <w:rFonts w:hint="eastAsia"/>
        </w:rPr>
        <w:t>（刑期从判决执行之日起计算。判决执行以前先行羁押的，羁押一日折抵刑期一日。被告人官某、刘某的刑期起止日期另行裁定。罚金限于本判决生效之日起十日内缴纳。）</w:t>
      </w:r>
    </w:p>
    <w:p w14:paraId="39EC3D08">
      <w:pPr>
        <w:rPr>
          <w:rFonts w:hint="eastAsia"/>
        </w:rPr>
      </w:pPr>
      <w:r>
        <w:rPr>
          <w:rFonts w:hint="eastAsia"/>
        </w:rPr>
        <w:t>三、被告人官某退缴的违法所得人民币八千元，被告人刘某退缴的违法所得人民币八千五百元均予以没收，由扣押机关荆州市公安局沙市区分局上缴国库。</w:t>
      </w:r>
    </w:p>
    <w:p w14:paraId="0ABE487A">
      <w:pPr>
        <w:ind w:firstLine="420" w:firstLineChars="200"/>
        <w:rPr>
          <w:rFonts w:hint="eastAsia"/>
        </w:rPr>
      </w:pPr>
      <w:r>
        <w:rPr>
          <w:rFonts w:hint="eastAsia"/>
        </w:rPr>
        <w:t>上诉人官某、刘某上诉提出，请求二审能对其判处缓刑。</w:t>
      </w:r>
    </w:p>
    <w:p w14:paraId="37EE7B2D">
      <w:pPr>
        <w:ind w:firstLine="420" w:firstLineChars="200"/>
        <w:rPr>
          <w:rFonts w:hint="eastAsia"/>
        </w:rPr>
      </w:pPr>
      <w:r>
        <w:rPr>
          <w:rFonts w:hint="eastAsia"/>
        </w:rPr>
        <w:t>经审理查明，二审查明的事实及证据与原审相同，且证据经原审当庭举证、质证，查明属实，本院予以确认。</w:t>
      </w:r>
    </w:p>
    <w:p w14:paraId="58E3572D">
      <w:pPr>
        <w:ind w:firstLine="420" w:firstLineChars="200"/>
        <w:rPr>
          <w:rFonts w:hint="eastAsia"/>
        </w:rPr>
      </w:pPr>
      <w:r>
        <w:rPr>
          <w:rFonts w:hint="eastAsia"/>
        </w:rPr>
        <w:t>关于上诉人官某、刘某上诉提出请求二审能对其判处缓刑的问题。</w:t>
      </w:r>
    </w:p>
    <w:p w14:paraId="1B67904B">
      <w:pPr>
        <w:ind w:firstLine="420" w:firstLineChars="200"/>
        <w:rPr>
          <w:rFonts w:hint="eastAsia"/>
        </w:rPr>
      </w:pPr>
      <w:r>
        <w:rPr>
          <w:rFonts w:hint="eastAsia"/>
        </w:rPr>
        <w:t>经查，原审对上诉人具备的所有从宽情节均作出了明确的认定，且上诉人也认罪认罚，原审据此采纳了公诉机关的量刑建议并无不当，上诉人二审未提供新证据证明其有新的从宽或者应当判处缓刑的情节，因此上诉人二审要求判处缓刑没有事实及法律依据，上诉理由不能成立，本院不予采纳。</w:t>
      </w:r>
    </w:p>
    <w:p w14:paraId="36385D58">
      <w:pPr>
        <w:ind w:firstLine="420" w:firstLineChars="200"/>
        <w:rPr>
          <w:rFonts w:hint="eastAsia"/>
        </w:rPr>
      </w:pPr>
      <w:r>
        <w:rPr>
          <w:rFonts w:hint="eastAsia"/>
        </w:rPr>
        <w:t>本院认为，上诉人官某、刘某明知他人利用信息网络实施犯罪，仍通过出借银行卡的方式为其提供支付结算帮助，情节严重，其行为构成帮助信息网络犯罪活动罪。原判认定事实清楚，适用法律正确，量刑适当，审判程序合法。依照《中华人民共和国刑事诉讼法》第二百三十六条第一款第（一）项之规定，裁定如下：</w:t>
      </w:r>
    </w:p>
    <w:p w14:paraId="65CABAE4">
      <w:pPr>
        <w:ind w:firstLine="420" w:firstLineChars="200"/>
        <w:rPr>
          <w:rFonts w:hint="eastAsia"/>
        </w:rPr>
      </w:pPr>
      <w:r>
        <w:rPr>
          <w:rFonts w:hint="eastAsia"/>
        </w:rPr>
        <w:t>驳回上诉，维持原判。</w:t>
      </w:r>
    </w:p>
    <w:p w14:paraId="5D14407C">
      <w:pPr>
        <w:ind w:firstLine="420" w:firstLineChars="200"/>
      </w:pPr>
      <w:r>
        <w:rPr>
          <w:rFonts w:hint="eastAsia"/>
        </w:rPr>
        <w:t>本裁定为终审裁定。</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CC4E49"/>
    <w:rsid w:val="533048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2208</Words>
  <Characters>2440</Characters>
  <Lines>0</Lines>
  <Paragraphs>0</Paragraphs>
  <TotalTime>1</TotalTime>
  <ScaleCrop>false</ScaleCrop>
  <LinksUpToDate>false</LinksUpToDate>
  <CharactersWithSpaces>2448</CharactersWithSpaces>
  <Application>WPS Office_12.1.0.28022_F1E327BC-269C-435d-A152-05C5408002CA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2026-08-25T16:26:00Z</dcterms:created>
  <dc:creator>27355</dc:creator>
  <cp:lastModifiedBy>杨可依</cp:lastModifiedBy>
  <dcterms:modified xsi:type="dcterms:W3CDTF">2026-08-29T06:11:04Z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2052-12.1.0.28022</vt:lpwstr>
  </property>
  <property fmtid="{D5CDD505-2E9C-101B-9397-08002B2CF9AE}" pid="3" name="KSOTemplateDocerSaveRecord">
    <vt:lpwstr>eyJoZGlkIjoiYjgyOGQyODI3NTAyMDJjYmRjZmFkZWE1NDI5Y2Q4NDIiLCJ1c2VySWQiOiIxNzY2NzgwODg4In0=</vt:lpwstr>
  </property>
  <property fmtid="{D5CDD505-2E9C-101B-9397-08002B2CF9AE}" pid="4" name="ICV">
    <vt:lpwstr>01399D6E9384402897FF3A48BD55759C_12</vt:lpwstr>
  </property>
</Properties>
</file>